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浙江大学机械工程学院</w:t>
      </w:r>
    </w:p>
    <w:p>
      <w:pPr>
        <w:spacing w:line="7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关于加强研究生学位论文过程管理</w:t>
      </w:r>
      <w:r>
        <w:rPr>
          <w:rFonts w:hint="eastAsia" w:ascii="方正小标宋简体" w:hAnsi="方正小标宋简体" w:eastAsia="方正小标宋简体" w:cs="方正小标宋简体"/>
          <w:sz w:val="36"/>
          <w:szCs w:val="36"/>
          <w:highlight w:val="none"/>
          <w:lang w:eastAsia="zh-CN"/>
        </w:rPr>
        <w:t>的</w:t>
      </w:r>
      <w:r>
        <w:rPr>
          <w:rFonts w:hint="eastAsia" w:ascii="方正小标宋简体" w:hAnsi="方正小标宋简体" w:eastAsia="方正小标宋简体" w:cs="方正小标宋简体"/>
          <w:sz w:val="36"/>
          <w:szCs w:val="36"/>
          <w:highlight w:val="none"/>
        </w:rPr>
        <w:t>实施细则(试行)</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第一章  总则</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研究生教育肩负着高层次人才培养和创新创造的重要使命，是国家发展、社会进步的重要基石。健全研究生培养单位内部质量管理机制，完善读书报告，中期考核（检查），及学位论文的开题、中期进展、预答辩（预审）等关键环节，加强研究生培养关键环节的质量监控和保证制度，落实全过程管理责任，以切实提升研究生培养质量。现根据《教育部 国家发展改革委 财政部关于加快新时代研究生教育改革发展的意见（教研〔2020〕9号）》《国务院学位委员会 教育部关于进一步严格规范学位与研究生教育质量管理的若干意见（学位〔2020〕19号）》《浙江大学研究生学位申请实施办法（试行）（浙大发研〔2020〕45 号）》等文件精神，结合我院的实际情况，制定本实施细则。</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第二章  读书报告</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读书报告是研究生的学术科研活动之一，通过读书报告可以提高研究生的学术水平，促进专业间的交流，增强口头表达能力，是研究生培养过程中不可缺少的环节，研究生在读期间需按培养方案要求完成相应数量的读书报告，具体要求如下：</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rPr>
        <w:t>）博士研究生：</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要求每位博士研究生在学期间做读书（学术）报告或seminar 6次，其中至少公开在学科或学院的学术论坛做读书（学术）报告1-2次。读书（学术）报告考核通过计2学分。</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要求每位直接攻博生或者硕博连读生在学期间做读书（学术）报告或seminar 10次，其中至少公开在学科或学院的学术论坛做读书（学术）报告2次。读书（学术）报告考核通过计4学分。</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2</w:t>
      </w:r>
      <w:r>
        <w:rPr>
          <w:rFonts w:hint="eastAsia" w:ascii="Times New Roman" w:hAnsi="Times New Roman" w:eastAsia="仿宋_GB2312" w:cs="Times New Roman"/>
          <w:sz w:val="28"/>
          <w:szCs w:val="28"/>
          <w:highlight w:val="none"/>
        </w:rPr>
        <w:t>）硕士研究生：</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要求每位硕士研究生在学期间做读书（学术）报告或seminar 4次，其中至少公开在学科或学院的学术论坛做读书（学术）报告1-2次。读书（学术）报告考核通过计2学分。</w:t>
      </w:r>
    </w:p>
    <w:p>
      <w:pPr>
        <w:spacing w:line="360" w:lineRule="auto"/>
        <w:ind w:firstLine="560" w:firstLineChars="200"/>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sz w:val="28"/>
          <w:szCs w:val="28"/>
          <w:highlight w:val="none"/>
          <w:lang w:eastAsia="zh-CN"/>
        </w:rPr>
        <w:t>每位研究生应将</w:t>
      </w:r>
      <w:r>
        <w:rPr>
          <w:rFonts w:hint="eastAsia" w:ascii="Times New Roman" w:hAnsi="Times New Roman" w:eastAsia="仿宋_GB2312" w:cs="Times New Roman"/>
          <w:sz w:val="28"/>
          <w:szCs w:val="28"/>
          <w:highlight w:val="none"/>
        </w:rPr>
        <w:t>《浙江大学研究生</w:t>
      </w:r>
      <w:r>
        <w:rPr>
          <w:rFonts w:hint="eastAsia" w:ascii="Times New Roman" w:hAnsi="Times New Roman" w:eastAsia="仿宋_GB2312" w:cs="Times New Roman"/>
          <w:sz w:val="28"/>
          <w:szCs w:val="28"/>
          <w:highlight w:val="none"/>
          <w:lang w:eastAsia="zh-CN"/>
        </w:rPr>
        <w:t>读书报告</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上传</w:t>
      </w:r>
      <w:r>
        <w:rPr>
          <w:rFonts w:hint="eastAsia" w:ascii="Times New Roman" w:hAnsi="Times New Roman" w:eastAsia="仿宋_GB2312" w:cs="Times New Roman"/>
          <w:sz w:val="28"/>
          <w:szCs w:val="28"/>
          <w:highlight w:val="none"/>
        </w:rPr>
        <w:t>至研究生教育管理信息系统，并以书面形式提交学院研究生科存档备案</w:t>
      </w:r>
      <w:r>
        <w:rPr>
          <w:rFonts w:hint="eastAsia" w:ascii="Times New Roman" w:hAnsi="Times New Roman" w:eastAsia="仿宋_GB2312" w:cs="Times New Roman"/>
          <w:sz w:val="28"/>
          <w:szCs w:val="28"/>
          <w:highlight w:val="none"/>
          <w:lang w:eastAsia="zh-CN"/>
        </w:rPr>
        <w:t>，提交时间以研究生科通知为准。</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第三章  中期考核（检查）</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中期考核是在研究生课程学习基本结束之后，对其入学以来政治思想表现、课程学习情况和科研工作能力等方面进行一次综合考核和评定。</w:t>
      </w:r>
    </w:p>
    <w:p>
      <w:pPr>
        <w:spacing w:line="360" w:lineRule="auto"/>
        <w:ind w:firstLine="562" w:firstLineChars="200"/>
        <w:rPr>
          <w:rFonts w:hint="eastAsia"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eastAsia="zh-CN"/>
        </w:rPr>
        <w:t>一、</w:t>
      </w:r>
      <w:r>
        <w:rPr>
          <w:rFonts w:hint="eastAsia" w:ascii="Times New Roman" w:hAnsi="Times New Roman" w:eastAsia="仿宋_GB2312" w:cs="Times New Roman"/>
          <w:b/>
          <w:bCs/>
          <w:sz w:val="28"/>
          <w:szCs w:val="28"/>
          <w:highlight w:val="none"/>
        </w:rPr>
        <w:t>博士研究生的中期考核：</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rPr>
        <w:t>普通博士研究生在第一学年结束后完成中期考核，直接攻博研究生在第二学年结束后完成中期考核，硕博连读研究生根据入学时间的不同，在进入博士阶段后一年或一年半后完成中期考核。博士研究生中期考核在每年3月份和10月份左右进行</w:t>
      </w:r>
      <w:r>
        <w:rPr>
          <w:rFonts w:hint="eastAsia" w:ascii="Times New Roman" w:hAnsi="Times New Roman" w:eastAsia="仿宋_GB2312" w:cs="Times New Roman"/>
          <w:sz w:val="28"/>
          <w:szCs w:val="28"/>
          <w:highlight w:val="none"/>
          <w:lang w:eastAsia="zh-CN"/>
        </w:rPr>
        <w:t>。</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各研究所成立中期考核小组，考核小组由3人（具有博士生招生资格的导师）以上的专家组成，负责本研究所的中期考核工作。各研究所根据各所实际情况可以按专业或研究方向或项目组对博士生进行中期考核。</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中期考核的等级分为：优秀、良好、合格、暂缓通过、不合格-博转硕、不合格-退学。“暂缓通过”为：“第一次考核不合格，但可以参加第二次考核”；“不合格-博转硕、不合格-退学”为：2种分流类型的选项。</w:t>
      </w:r>
    </w:p>
    <w:p>
      <w:pPr>
        <w:spacing w:line="360" w:lineRule="auto"/>
        <w:ind w:firstLine="560" w:firstLineChars="200"/>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eastAsia="zh-CN"/>
        </w:rPr>
        <w:t>分流的直博生毕业时间不早于中期考核后的第二年</w:t>
      </w:r>
      <w:r>
        <w:rPr>
          <w:rFonts w:hint="eastAsia" w:ascii="Times New Roman" w:hAnsi="Times New Roman" w:eastAsia="仿宋_GB2312" w:cs="Times New Roman"/>
          <w:sz w:val="28"/>
          <w:szCs w:val="28"/>
          <w:highlight w:val="none"/>
          <w:lang w:val="en-US" w:eastAsia="zh-CN"/>
        </w:rPr>
        <w:t>6月。</w:t>
      </w:r>
    </w:p>
    <w:p>
      <w:pPr>
        <w:spacing w:line="360" w:lineRule="auto"/>
        <w:ind w:firstLine="562" w:firstLineChars="200"/>
        <w:rPr>
          <w:rFonts w:hint="eastAsia" w:ascii="Times New Roman" w:hAnsi="Times New Roman" w:eastAsia="仿宋_GB2312" w:cs="Times New Roman"/>
          <w:b/>
          <w:bCs/>
          <w:sz w:val="28"/>
          <w:szCs w:val="28"/>
          <w:highlight w:val="none"/>
        </w:rPr>
      </w:pPr>
      <w:r>
        <w:rPr>
          <w:rFonts w:hint="eastAsia" w:ascii="Times New Roman" w:hAnsi="Times New Roman" w:eastAsia="仿宋_GB2312" w:cs="Times New Roman"/>
          <w:b/>
          <w:bCs/>
          <w:sz w:val="28"/>
          <w:szCs w:val="28"/>
          <w:highlight w:val="none"/>
          <w:lang w:eastAsia="zh-CN"/>
        </w:rPr>
        <w:t>二、</w:t>
      </w:r>
      <w:r>
        <w:rPr>
          <w:rFonts w:hint="eastAsia" w:ascii="Times New Roman" w:hAnsi="Times New Roman" w:eastAsia="仿宋_GB2312" w:cs="Times New Roman"/>
          <w:b/>
          <w:bCs/>
          <w:sz w:val="28"/>
          <w:szCs w:val="28"/>
          <w:highlight w:val="none"/>
        </w:rPr>
        <w:t>硕士研究生的中期考核（检查）：</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 硕士研究生在第一学年结束后完成进行中期考核（检查），对课程学习与读书报告完成情况、学位论文的开题情况、科研成果等方面进行中期考核（检查）。硕士研究生中期考核（检查）在每年11月份进行。</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各研究所成立中期考核小组，考核小组由3人（具有硕士生招生资格的导师）以上的专家组成，负责本研究所的中期考核工作。各研究所根据各所实际情况可以按专业或研究方向或项目组对硕士生进行中期考核。</w:t>
      </w:r>
    </w:p>
    <w:p>
      <w:pPr>
        <w:spacing w:line="360" w:lineRule="auto"/>
        <w:ind w:firstLine="560" w:firstLineChars="200"/>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中期考核的等级分为：优秀、良好、合格、暂缓通过、不合格-退学。“暂缓通过”为：“第一次考核不合格，但可以参加第二次考核”；“不合格-退学”为分流类型的选项。</w:t>
      </w:r>
    </w:p>
    <w:p>
      <w:pPr>
        <w:spacing w:line="360" w:lineRule="auto"/>
        <w:ind w:firstLine="560" w:firstLineChars="200"/>
        <w:rPr>
          <w:rFonts w:hint="eastAsia" w:ascii="Times New Roman" w:hAnsi="Times New Roman" w:eastAsia="仿宋_GB2312" w:cs="Times New Roman"/>
          <w:b/>
          <w:bCs/>
          <w:sz w:val="28"/>
          <w:szCs w:val="28"/>
          <w:highlight w:val="none"/>
          <w:lang w:eastAsia="zh-CN"/>
        </w:rPr>
      </w:pPr>
      <w:r>
        <w:rPr>
          <w:rFonts w:hint="eastAsia" w:ascii="Times New Roman" w:hAnsi="Times New Roman" w:eastAsia="仿宋_GB2312" w:cs="Times New Roman"/>
          <w:sz w:val="28"/>
          <w:szCs w:val="28"/>
          <w:highlight w:val="none"/>
          <w:lang w:eastAsia="zh-CN"/>
        </w:rPr>
        <w:t>中期考核（检查）通过后，每位研究生应在</w:t>
      </w:r>
      <w:r>
        <w:rPr>
          <w:rFonts w:hint="eastAsia" w:ascii="Times New Roman" w:hAnsi="Times New Roman" w:eastAsia="仿宋_GB2312" w:cs="Times New Roman"/>
          <w:sz w:val="28"/>
          <w:szCs w:val="28"/>
          <w:highlight w:val="none"/>
        </w:rPr>
        <w:t>研究生教育管理信息系统</w:t>
      </w:r>
      <w:r>
        <w:rPr>
          <w:rFonts w:hint="eastAsia" w:ascii="Times New Roman" w:hAnsi="Times New Roman" w:eastAsia="仿宋_GB2312" w:cs="Times New Roman"/>
          <w:sz w:val="28"/>
          <w:szCs w:val="28"/>
          <w:highlight w:val="none"/>
          <w:lang w:eastAsia="zh-CN"/>
        </w:rPr>
        <w:t>录入中期考核信息，上传个人小结，下载《浙江大学研究生中期考核表》</w:t>
      </w:r>
      <w:r>
        <w:rPr>
          <w:rFonts w:hint="eastAsia" w:ascii="Times New Roman" w:hAnsi="Times New Roman" w:eastAsia="仿宋_GB2312" w:cs="Times New Roman"/>
          <w:sz w:val="28"/>
          <w:szCs w:val="28"/>
          <w:highlight w:val="none"/>
        </w:rPr>
        <w:t>，并</w:t>
      </w:r>
      <w:r>
        <w:rPr>
          <w:rFonts w:hint="eastAsia" w:ascii="Times New Roman" w:hAnsi="Times New Roman" w:eastAsia="仿宋_GB2312" w:cs="Times New Roman"/>
          <w:sz w:val="28"/>
          <w:szCs w:val="28"/>
          <w:highlight w:val="none"/>
          <w:lang w:eastAsia="zh-CN"/>
        </w:rPr>
        <w:t>和个人小结一起交由各研究所秘书收齐后</w:t>
      </w:r>
      <w:r>
        <w:rPr>
          <w:rFonts w:hint="eastAsia" w:ascii="Times New Roman" w:hAnsi="Times New Roman" w:eastAsia="仿宋_GB2312" w:cs="Times New Roman"/>
          <w:sz w:val="28"/>
          <w:szCs w:val="28"/>
          <w:highlight w:val="none"/>
        </w:rPr>
        <w:t>提交学院研究生科存档备案</w:t>
      </w:r>
      <w:r>
        <w:rPr>
          <w:rFonts w:hint="eastAsia" w:ascii="Times New Roman" w:hAnsi="Times New Roman" w:eastAsia="仿宋_GB2312" w:cs="Times New Roman"/>
          <w:sz w:val="28"/>
          <w:szCs w:val="28"/>
          <w:highlight w:val="none"/>
          <w:lang w:eastAsia="zh-CN"/>
        </w:rPr>
        <w:t>，提交时间以研究生科通知为准。</w:t>
      </w:r>
    </w:p>
    <w:p>
      <w:pPr>
        <w:pStyle w:val="4"/>
        <w:widowControl w:val="0"/>
        <w:numPr>
          <w:ilvl w:val="0"/>
          <w:numId w:val="1"/>
        </w:numPr>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 xml:space="preserve"> 学位论文开题报告</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 xml:space="preserve">开题报告是研究生学位论文工作的重要环节，是保证学位论文进度和质量的前提。开题报告应遵循以下要求： </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rPr>
        <w:t xml:space="preserve">）研究生必须进行开题报告。 </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2</w:t>
      </w:r>
      <w:r>
        <w:rPr>
          <w:rFonts w:hint="eastAsia" w:ascii="Times New Roman" w:hAnsi="Times New Roman" w:eastAsia="仿宋_GB2312" w:cs="Times New Roman"/>
          <w:sz w:val="28"/>
          <w:szCs w:val="28"/>
          <w:highlight w:val="none"/>
        </w:rPr>
        <w:t>）研究生应就学位论文选题意义、国内外研究综述、主要研究内容和研究方案等作出论证，撰写《浙江大学研究生学位论文开题报告》，并在所属学术学位学科或专业学位类别/领域范围内公开报告，由以研究生导师及导师团队成员为主体组成的考核小组（至少 3 名）评审，其中博士研究生开题需3名及以上具有博士研究生招生资格的教师组成，组长需由正高职称的教师担任，硕士研究生开题需3名及以上的具有硕士研究生招生资格的教师组成，组长需由副高职称及以上的教师担任。经评审通过的《浙江大学研究生学位论文开题报告》，应上传至研究生教育管理信息系统，并以书面形式提交学院研究生科存档备案，在中期考核（检查）时一起提交，时间为每年的3月份和11月份。</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3</w:t>
      </w:r>
      <w:r>
        <w:rPr>
          <w:rFonts w:hint="eastAsia" w:ascii="Times New Roman" w:hAnsi="Times New Roman" w:eastAsia="仿宋_GB2312" w:cs="Times New Roman"/>
          <w:sz w:val="28"/>
          <w:szCs w:val="28"/>
          <w:highlight w:val="none"/>
        </w:rPr>
        <w:t>）开题报告未获通过者，应尽快修改完善开题报告，经导师确认同意后重新进行开题报告。</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4</w:t>
      </w:r>
      <w:r>
        <w:rPr>
          <w:rFonts w:hint="eastAsia" w:ascii="Times New Roman" w:hAnsi="Times New Roman" w:eastAsia="仿宋_GB2312" w:cs="Times New Roman"/>
          <w:sz w:val="28"/>
          <w:szCs w:val="28"/>
          <w:highlight w:val="none"/>
        </w:rPr>
        <w:t xml:space="preserve">）开题报告通过者，经导师确认需变更学位论文课题研究者，应重新进行开题报告。 </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5</w:t>
      </w:r>
      <w:r>
        <w:rPr>
          <w:rFonts w:hint="eastAsia" w:ascii="Times New Roman" w:hAnsi="Times New Roman" w:eastAsia="仿宋_GB2312" w:cs="Times New Roman"/>
          <w:sz w:val="28"/>
          <w:szCs w:val="28"/>
          <w:highlight w:val="none"/>
        </w:rPr>
        <w:t>）普通博士研究生应于入学后 1</w:t>
      </w:r>
      <w:r>
        <w:rPr>
          <w:rFonts w:hint="eastAsia" w:ascii="Times New Roman" w:hAnsi="Times New Roman" w:eastAsia="仿宋_GB2312" w:cs="Times New Roman"/>
          <w:sz w:val="28"/>
          <w:szCs w:val="28"/>
          <w:highlight w:val="none"/>
          <w:lang w:val="en-US" w:eastAsia="zh-CN"/>
        </w:rPr>
        <w:t>.5</w:t>
      </w:r>
      <w:r>
        <w:rPr>
          <w:rFonts w:hint="eastAsia" w:ascii="Times New Roman" w:hAnsi="Times New Roman" w:eastAsia="仿宋_GB2312" w:cs="Times New Roman"/>
          <w:sz w:val="28"/>
          <w:szCs w:val="28"/>
          <w:highlight w:val="none"/>
        </w:rPr>
        <w:t>学年内完成学位论文开题报告，直接攻博生应于入学后</w:t>
      </w:r>
      <w:r>
        <w:rPr>
          <w:rFonts w:hint="eastAsia" w:ascii="Times New Roman" w:hAnsi="Times New Roman" w:eastAsia="仿宋_GB2312" w:cs="Times New Roman"/>
          <w:sz w:val="28"/>
          <w:szCs w:val="28"/>
          <w:highlight w:val="none"/>
          <w:lang w:val="en-US" w:eastAsia="zh-CN"/>
        </w:rPr>
        <w:t>2.5</w:t>
      </w:r>
      <w:r>
        <w:rPr>
          <w:rFonts w:hint="eastAsia" w:ascii="Times New Roman" w:hAnsi="Times New Roman" w:eastAsia="仿宋_GB2312" w:cs="Times New Roman"/>
          <w:sz w:val="28"/>
          <w:szCs w:val="28"/>
          <w:highlight w:val="none"/>
        </w:rPr>
        <w:t xml:space="preserve">学年内完成学位论文开题报告，硕博连读生应于转博后的 </w:t>
      </w:r>
      <w:bookmarkStart w:id="0" w:name="_GoBack"/>
      <w:bookmarkEnd w:id="0"/>
      <w:r>
        <w:rPr>
          <w:rFonts w:hint="eastAsia" w:ascii="Times New Roman" w:hAnsi="Times New Roman" w:eastAsia="仿宋_GB2312" w:cs="Times New Roman"/>
          <w:sz w:val="28"/>
          <w:szCs w:val="28"/>
          <w:highlight w:val="none"/>
        </w:rPr>
        <w:t>1学年内完成学位论文开题报告， 硕士研究生应于入学后 1</w:t>
      </w:r>
      <w:r>
        <w:rPr>
          <w:rFonts w:hint="eastAsia" w:ascii="Times New Roman" w:hAnsi="Times New Roman" w:eastAsia="仿宋_GB2312" w:cs="Times New Roman"/>
          <w:sz w:val="28"/>
          <w:szCs w:val="28"/>
          <w:highlight w:val="none"/>
          <w:lang w:val="en-US" w:eastAsia="zh-CN"/>
        </w:rPr>
        <w:t>.5</w:t>
      </w:r>
      <w:r>
        <w:rPr>
          <w:rFonts w:hint="eastAsia" w:ascii="Times New Roman" w:hAnsi="Times New Roman" w:eastAsia="仿宋_GB2312" w:cs="Times New Roman"/>
          <w:sz w:val="28"/>
          <w:szCs w:val="28"/>
          <w:highlight w:val="none"/>
        </w:rPr>
        <w:t xml:space="preserve">学年内完成学位论文开题报告。对未按时开题的研究生，学科（研究所）要主动跟进、分析原因，督促导师指导研究生进行开题报告。 </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val="en-US" w:eastAsia="zh-CN"/>
        </w:rPr>
        <w:t>6</w:t>
      </w:r>
      <w:r>
        <w:rPr>
          <w:rFonts w:hint="eastAsia" w:ascii="Times New Roman" w:hAnsi="Times New Roman" w:eastAsia="仿宋_GB2312" w:cs="Times New Roman"/>
          <w:sz w:val="28"/>
          <w:szCs w:val="28"/>
          <w:highlight w:val="none"/>
        </w:rPr>
        <w:t>）博士研究生完成开题报告后，至少间隔 12 个月后，方能申请学位论文答辩；硕士研究生完成开题报告后，至少间隔 6 个月后，方能申请学位论文答辩。</w:t>
      </w:r>
    </w:p>
    <w:p>
      <w:pPr>
        <w:pStyle w:val="4"/>
        <w:widowControl w:val="0"/>
        <w:numPr>
          <w:ilvl w:val="0"/>
          <w:numId w:val="0"/>
        </w:numPr>
        <w:spacing w:before="0" w:beforeAutospacing="0" w:after="0" w:afterAutospacing="0" w:line="360" w:lineRule="auto"/>
        <w:ind w:firstLine="560" w:firstLineChars="200"/>
        <w:jc w:val="both"/>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w:t>
      </w:r>
      <w:r>
        <w:rPr>
          <w:rFonts w:hint="eastAsia" w:ascii="Times New Roman" w:hAnsi="Times New Roman" w:eastAsia="仿宋_GB2312" w:cs="Times New Roman"/>
          <w:sz w:val="28"/>
          <w:szCs w:val="28"/>
          <w:highlight w:val="none"/>
          <w:lang w:val="en-US" w:eastAsia="zh-CN"/>
        </w:rPr>
        <w:t>7</w:t>
      </w:r>
      <w:r>
        <w:rPr>
          <w:rFonts w:hint="eastAsia" w:ascii="Times New Roman" w:hAnsi="Times New Roman" w:eastAsia="仿宋_GB2312" w:cs="Times New Roman"/>
          <w:sz w:val="28"/>
          <w:szCs w:val="28"/>
          <w:highlight w:val="none"/>
          <w:lang w:eastAsia="zh-CN"/>
        </w:rPr>
        <w:t>）研究生开题报告需经学科点学位论文质量审核小组审核通过。</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第五章  学位论文中期进展报告</w:t>
      </w:r>
    </w:p>
    <w:p>
      <w:pPr>
        <w:pStyle w:val="4"/>
        <w:widowControl w:val="0"/>
        <w:spacing w:before="0" w:beforeAutospacing="0" w:after="0" w:afterAutospacing="0" w:line="360" w:lineRule="auto"/>
        <w:ind w:firstLine="560" w:firstLineChars="200"/>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学位论文中期进展报告是导师全面了解研究生学位论文课题进展情况，督促研究生按计划开展研究工作，及时发现课题研究中存在的问题，采取补救措施或调整研究路线的重要环节。</w:t>
      </w:r>
    </w:p>
    <w:p>
      <w:pPr>
        <w:pStyle w:val="4"/>
        <w:widowControl w:val="0"/>
        <w:spacing w:before="0" w:beforeAutospacing="0" w:after="0" w:afterAutospacing="0" w:line="360" w:lineRule="auto"/>
        <w:ind w:firstLine="560" w:firstLineChars="200"/>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研究生在完成学位论文开题报告后的一年内</w:t>
      </w:r>
      <w:r>
        <w:rPr>
          <w:rFonts w:hint="eastAsia" w:ascii="Times New Roman" w:hAnsi="Times New Roman" w:eastAsia="仿宋_GB2312" w:cs="Times New Roman"/>
          <w:sz w:val="28"/>
          <w:szCs w:val="28"/>
          <w:highlight w:val="none"/>
          <w:lang w:eastAsia="zh-CN"/>
        </w:rPr>
        <w:t>应</w:t>
      </w:r>
      <w:r>
        <w:rPr>
          <w:rFonts w:hint="eastAsia" w:ascii="Times New Roman" w:hAnsi="Times New Roman" w:eastAsia="仿宋_GB2312" w:cs="Times New Roman"/>
          <w:sz w:val="28"/>
          <w:szCs w:val="28"/>
          <w:highlight w:val="none"/>
        </w:rPr>
        <w:t>完成学位论文中期进展考核。</w:t>
      </w:r>
    </w:p>
    <w:p>
      <w:pPr>
        <w:pStyle w:val="4"/>
        <w:widowControl w:val="0"/>
        <w:spacing w:before="0" w:beforeAutospacing="0" w:after="0" w:afterAutospacing="0" w:line="360" w:lineRule="auto"/>
        <w:ind w:firstLine="560" w:firstLineChars="200"/>
        <w:jc w:val="left"/>
        <w:rPr>
          <w:rFonts w:hint="eastAsia" w:ascii="Times New Roman" w:hAnsi="Times New Roman" w:eastAsia="仿宋_GB2312" w:cs="Times New Roman"/>
          <w:sz w:val="28"/>
          <w:szCs w:val="28"/>
          <w:highlight w:val="none"/>
          <w:lang w:eastAsia="zh-CN"/>
        </w:rPr>
      </w:pPr>
      <w:r>
        <w:rPr>
          <w:rFonts w:hint="eastAsia" w:ascii="Times New Roman" w:hAnsi="Times New Roman" w:eastAsia="仿宋_GB2312" w:cs="Times New Roman"/>
          <w:sz w:val="28"/>
          <w:szCs w:val="28"/>
          <w:highlight w:val="none"/>
          <w:lang w:eastAsia="zh-CN"/>
        </w:rPr>
        <w:t>博士研究生应撰写《浙江大学研究生学位论文中期进展报告》，并公开进行学位论文中期进展报告，由以研究生导师及导师团队成员为主体组成的考核小组（至少 3 名）评审。通过中期进展报告的研究生应登录研究生教育管理信息系统填写完成“浙江大学研究生学位论文中期进展报告信息表”，经导师、院系审核，下载并由导师签字确认后，以书面形式提交学院（系）存档备案。考核未通过的博士研究生，至少需间隔三个月方能再次进行考核。</w:t>
      </w:r>
    </w:p>
    <w:p>
      <w:pPr>
        <w:pStyle w:val="4"/>
        <w:widowControl w:val="0"/>
        <w:spacing w:before="0" w:beforeAutospacing="0" w:after="0" w:afterAutospacing="0" w:line="360" w:lineRule="auto"/>
        <w:ind w:firstLine="560" w:firstLineChars="200"/>
        <w:jc w:val="left"/>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lang w:eastAsia="zh-CN"/>
        </w:rPr>
        <w:t>硕士研究生的学位论文中期进展报告相关规定按《机械工程学院硕士研究生学位论文中期进展考核办法》（</w:t>
      </w:r>
      <w:r>
        <w:rPr>
          <w:rFonts w:hint="eastAsia" w:ascii="Times New Roman" w:hAnsi="Times New Roman" w:eastAsia="仿宋_GB2312" w:cs="Times New Roman"/>
          <w:sz w:val="28"/>
          <w:szCs w:val="28"/>
          <w:highlight w:val="none"/>
          <w:lang w:val="en-US" w:eastAsia="zh-CN"/>
        </w:rPr>
        <w:t>2021年7月修订</w:t>
      </w:r>
      <w:r>
        <w:rPr>
          <w:rFonts w:hint="eastAsia" w:ascii="Times New Roman" w:hAnsi="Times New Roman" w:eastAsia="仿宋_GB2312" w:cs="Times New Roman"/>
          <w:sz w:val="28"/>
          <w:szCs w:val="28"/>
          <w:highlight w:val="none"/>
          <w:lang w:eastAsia="zh-CN"/>
        </w:rPr>
        <w:t>）（附件</w:t>
      </w:r>
      <w:r>
        <w:rPr>
          <w:rFonts w:hint="eastAsia" w:ascii="Times New Roman" w:hAnsi="Times New Roman" w:eastAsia="仿宋_GB2312" w:cs="Times New Roman"/>
          <w:sz w:val="28"/>
          <w:szCs w:val="28"/>
          <w:highlight w:val="none"/>
          <w:lang w:val="en-US" w:eastAsia="zh-CN"/>
        </w:rPr>
        <w:t>1</w:t>
      </w:r>
      <w:r>
        <w:rPr>
          <w:rFonts w:hint="eastAsia" w:ascii="Times New Roman" w:hAnsi="Times New Roman" w:eastAsia="仿宋_GB2312" w:cs="Times New Roman"/>
          <w:sz w:val="28"/>
          <w:szCs w:val="28"/>
          <w:highlight w:val="none"/>
          <w:lang w:eastAsia="zh-CN"/>
        </w:rPr>
        <w:t>）执行。</w:t>
      </w:r>
    </w:p>
    <w:p>
      <w:pPr>
        <w:pStyle w:val="4"/>
        <w:widowControl w:val="0"/>
        <w:spacing w:before="0" w:beforeAutospacing="0" w:after="0" w:afterAutospacing="0" w:line="360" w:lineRule="auto"/>
        <w:ind w:firstLine="562" w:firstLineChars="200"/>
        <w:jc w:val="center"/>
        <w:rPr>
          <w:rFonts w:hint="default" w:ascii="仿宋_GB2312" w:hAnsi="仿宋_GB2312" w:eastAsia="仿宋_GB2312" w:cs="仿宋_GB2312"/>
          <w:b/>
          <w:bCs/>
          <w:color w:val="auto"/>
          <w:kern w:val="2"/>
          <w:sz w:val="28"/>
          <w:szCs w:val="28"/>
          <w:highlight w:val="none"/>
          <w:lang w:val="en-US" w:eastAsia="zh-CN"/>
        </w:rPr>
      </w:pPr>
      <w:r>
        <w:rPr>
          <w:rFonts w:hint="eastAsia" w:ascii="仿宋_GB2312" w:hAnsi="仿宋_GB2312" w:eastAsia="仿宋_GB2312" w:cs="仿宋_GB2312"/>
          <w:b/>
          <w:bCs/>
          <w:color w:val="auto"/>
          <w:kern w:val="2"/>
          <w:sz w:val="28"/>
          <w:szCs w:val="28"/>
          <w:highlight w:val="none"/>
          <w:lang w:eastAsia="zh-CN"/>
        </w:rPr>
        <w:t>第六章  学位论文预审</w:t>
      </w:r>
      <w:r>
        <w:rPr>
          <w:rFonts w:hint="eastAsia" w:ascii="仿宋_GB2312" w:hAnsi="仿宋_GB2312" w:eastAsia="仿宋_GB2312" w:cs="仿宋_GB2312"/>
          <w:b/>
          <w:bCs/>
          <w:color w:val="auto"/>
          <w:kern w:val="2"/>
          <w:sz w:val="28"/>
          <w:szCs w:val="28"/>
          <w:highlight w:val="none"/>
          <w:lang w:val="en-US" w:eastAsia="zh-CN"/>
        </w:rPr>
        <w:t>/预答辩</w:t>
      </w:r>
    </w:p>
    <w:p>
      <w:pPr>
        <w:spacing w:line="360" w:lineRule="auto"/>
        <w:ind w:firstLine="560" w:firstLineChars="200"/>
        <w:rPr>
          <w:rFonts w:hint="eastAsia" w:ascii="微软雅黑" w:hAnsi="微软雅黑" w:eastAsia="微软雅黑" w:cs="微软雅黑"/>
          <w:i w:val="0"/>
          <w:iCs w:val="0"/>
          <w:caps w:val="0"/>
          <w:color w:val="333333"/>
          <w:spacing w:val="0"/>
          <w:sz w:val="19"/>
          <w:szCs w:val="19"/>
          <w:highlight w:val="none"/>
          <w:u w:val="none"/>
          <w:shd w:val="clear" w:fill="FFFFFF"/>
          <w:lang w:eastAsia="zh-CN"/>
        </w:rPr>
      </w:pPr>
      <w:r>
        <w:rPr>
          <w:rFonts w:hint="eastAsia" w:ascii="Times New Roman" w:hAnsi="Times New Roman" w:eastAsia="仿宋_GB2312" w:cs="Times New Roman"/>
          <w:sz w:val="28"/>
          <w:szCs w:val="28"/>
          <w:highlight w:val="none"/>
        </w:rPr>
        <w:t>博士研究生在申请学位论文评阅前，应通过学位论文预答辩。硕士研究生在申请学位论文评阅前，应通过学位论文预审</w:t>
      </w:r>
      <w:r>
        <w:rPr>
          <w:rFonts w:hint="eastAsia" w:ascii="Times New Roman" w:hAnsi="Times New Roman" w:eastAsia="仿宋_GB2312" w:cs="Times New Roman"/>
          <w:sz w:val="28"/>
          <w:szCs w:val="28"/>
          <w:highlight w:val="none"/>
          <w:lang w:val="en-US" w:eastAsia="zh-CN"/>
        </w:rPr>
        <w:t>/预答辩</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预审</w:t>
      </w:r>
      <w:r>
        <w:rPr>
          <w:rFonts w:hint="eastAsia" w:ascii="Times New Roman" w:hAnsi="Times New Roman" w:eastAsia="仿宋_GB2312" w:cs="Times New Roman"/>
          <w:sz w:val="28"/>
          <w:szCs w:val="28"/>
          <w:highlight w:val="none"/>
          <w:lang w:val="en-US" w:eastAsia="zh-CN"/>
        </w:rPr>
        <w:t>/预答辩的相关规定按《</w:t>
      </w:r>
      <w:r>
        <w:rPr>
          <w:rFonts w:hint="eastAsia" w:ascii="Times New Roman" w:hAnsi="Times New Roman" w:eastAsia="仿宋_GB2312" w:cs="Times New Roman"/>
          <w:sz w:val="28"/>
          <w:szCs w:val="28"/>
          <w:highlight w:val="none"/>
        </w:rPr>
        <w:fldChar w:fldCharType="begin"/>
      </w:r>
      <w:r>
        <w:rPr>
          <w:rFonts w:hint="eastAsia" w:ascii="Times New Roman" w:hAnsi="Times New Roman" w:eastAsia="仿宋_GB2312" w:cs="Times New Roman"/>
          <w:sz w:val="28"/>
          <w:szCs w:val="28"/>
          <w:highlight w:val="none"/>
        </w:rPr>
        <w:instrText xml:space="preserve"> HYPERLINK "http://me.zju.edu.cn/meoffice/2021/0113/c6445a2243751/page.htm" \o "浙江大学机械工程学院博士研究生学位论文预答辩工作暂行规定（2021年1月1日起执行）" \t "http://me.zju.edu.cn/meoffice/6445/_blank" </w:instrText>
      </w:r>
      <w:r>
        <w:rPr>
          <w:rFonts w:hint="eastAsia" w:ascii="Times New Roman" w:hAnsi="Times New Roman" w:eastAsia="仿宋_GB2312" w:cs="Times New Roman"/>
          <w:sz w:val="28"/>
          <w:szCs w:val="28"/>
          <w:highlight w:val="none"/>
        </w:rPr>
        <w:fldChar w:fldCharType="separate"/>
      </w:r>
      <w:r>
        <w:rPr>
          <w:rFonts w:hint="eastAsia" w:ascii="Times New Roman" w:hAnsi="Times New Roman" w:eastAsia="仿宋_GB2312" w:cs="Times New Roman"/>
          <w:sz w:val="28"/>
          <w:szCs w:val="28"/>
          <w:highlight w:val="none"/>
        </w:rPr>
        <w:t>浙江大学机械工程学院博士研究生学位论文预答辩工作暂行规定（202</w:t>
      </w:r>
      <w:r>
        <w:rPr>
          <w:rFonts w:hint="eastAsia" w:ascii="Times New Roman" w:hAnsi="Times New Roman" w:eastAsia="仿宋_GB2312" w:cs="Times New Roman"/>
          <w:sz w:val="28"/>
          <w:szCs w:val="28"/>
          <w:highlight w:val="none"/>
          <w:lang w:val="en-US" w:eastAsia="zh-CN"/>
        </w:rPr>
        <w:t>1年1月修订</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fldChar w:fldCharType="end"/>
      </w:r>
      <w:r>
        <w:rPr>
          <w:rFonts w:hint="eastAsia" w:ascii="Times New Roman" w:hAnsi="Times New Roman" w:eastAsia="仿宋_GB2312" w:cs="Times New Roman"/>
          <w:sz w:val="28"/>
          <w:szCs w:val="28"/>
          <w:highlight w:val="none"/>
          <w:lang w:val="en-US" w:eastAsia="zh-CN"/>
        </w:rPr>
        <w:t>》（附件2）、《</w:t>
      </w:r>
      <w:r>
        <w:rPr>
          <w:rFonts w:hint="eastAsia" w:ascii="Times New Roman" w:hAnsi="Times New Roman" w:eastAsia="仿宋_GB2312" w:cs="Times New Roman"/>
          <w:sz w:val="28"/>
          <w:szCs w:val="28"/>
          <w:highlight w:val="none"/>
        </w:rPr>
        <w:fldChar w:fldCharType="begin"/>
      </w:r>
      <w:r>
        <w:rPr>
          <w:rFonts w:hint="eastAsia" w:ascii="Times New Roman" w:hAnsi="Times New Roman" w:eastAsia="仿宋_GB2312" w:cs="Times New Roman"/>
          <w:sz w:val="28"/>
          <w:szCs w:val="28"/>
          <w:highlight w:val="none"/>
        </w:rPr>
        <w:instrText xml:space="preserve"> HYPERLINK "http://me.zju.edu.cn/meoffice/2021/0113/c6445a2243755/page.htm" \o "浙江大学机械工程学院硕士研究生学位论文预审工作暂行规定（2021年1月1日期执行）" \t "http://me.zju.edu.cn/meoffice/6445/_blank" </w:instrText>
      </w:r>
      <w:r>
        <w:rPr>
          <w:rFonts w:hint="eastAsia" w:ascii="Times New Roman" w:hAnsi="Times New Roman" w:eastAsia="仿宋_GB2312" w:cs="Times New Roman"/>
          <w:sz w:val="28"/>
          <w:szCs w:val="28"/>
          <w:highlight w:val="none"/>
        </w:rPr>
        <w:fldChar w:fldCharType="separate"/>
      </w:r>
      <w:r>
        <w:rPr>
          <w:rFonts w:hint="eastAsia" w:ascii="Times New Roman" w:hAnsi="Times New Roman" w:eastAsia="仿宋_GB2312" w:cs="Times New Roman"/>
          <w:sz w:val="28"/>
          <w:szCs w:val="28"/>
          <w:highlight w:val="none"/>
        </w:rPr>
        <w:t>浙江大学机械工程学院硕士研究生学位论文预审工作暂行规定（202</w:t>
      </w:r>
      <w:r>
        <w:rPr>
          <w:rFonts w:hint="eastAsia" w:ascii="Times New Roman" w:hAnsi="Times New Roman" w:eastAsia="仿宋_GB2312" w:cs="Times New Roman"/>
          <w:sz w:val="28"/>
          <w:szCs w:val="28"/>
          <w:highlight w:val="none"/>
          <w:lang w:val="en-US" w:eastAsia="zh-CN"/>
        </w:rPr>
        <w:t>1年1月修订</w:t>
      </w:r>
      <w:r>
        <w:rPr>
          <w:rFonts w:hint="eastAsia"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rPr>
        <w:fldChar w:fldCharType="end"/>
      </w:r>
      <w:r>
        <w:rPr>
          <w:rFonts w:hint="eastAsia" w:ascii="Times New Roman" w:hAnsi="Times New Roman" w:eastAsia="仿宋_GB2312" w:cs="Times New Roman"/>
          <w:sz w:val="28"/>
          <w:szCs w:val="28"/>
          <w:highlight w:val="none"/>
          <w:lang w:val="en-US" w:eastAsia="zh-CN"/>
        </w:rPr>
        <w:t>》（附件3）执行。</w:t>
      </w:r>
    </w:p>
    <w:p>
      <w:pPr>
        <w:pStyle w:val="4"/>
        <w:widowControl w:val="0"/>
        <w:spacing w:before="0" w:beforeAutospacing="0" w:after="0" w:afterAutospacing="0" w:line="360" w:lineRule="auto"/>
        <w:ind w:firstLine="562" w:firstLineChars="200"/>
        <w:jc w:val="center"/>
        <w:rPr>
          <w:rFonts w:hint="eastAsia" w:ascii="仿宋_GB2312" w:hAnsi="仿宋_GB2312" w:eastAsia="仿宋_GB2312" w:cs="仿宋_GB2312"/>
          <w:b/>
          <w:bCs/>
          <w:color w:val="auto"/>
          <w:kern w:val="2"/>
          <w:sz w:val="28"/>
          <w:szCs w:val="28"/>
          <w:highlight w:val="none"/>
          <w:lang w:eastAsia="zh-CN"/>
        </w:rPr>
      </w:pPr>
      <w:r>
        <w:rPr>
          <w:rFonts w:hint="eastAsia" w:ascii="仿宋_GB2312" w:hAnsi="仿宋_GB2312" w:eastAsia="仿宋_GB2312" w:cs="仿宋_GB2312"/>
          <w:b/>
          <w:bCs/>
          <w:color w:val="auto"/>
          <w:kern w:val="2"/>
          <w:sz w:val="28"/>
          <w:szCs w:val="28"/>
          <w:highlight w:val="none"/>
          <w:lang w:eastAsia="zh-CN"/>
        </w:rPr>
        <w:t>第五章  其他</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本实施细则适用于</w:t>
      </w:r>
      <w:r>
        <w:rPr>
          <w:rFonts w:hint="eastAsia" w:ascii="Times New Roman" w:hAnsi="Times New Roman" w:eastAsia="仿宋_GB2312" w:cs="Times New Roman"/>
          <w:sz w:val="28"/>
          <w:szCs w:val="28"/>
          <w:highlight w:val="none"/>
          <w:lang w:eastAsia="zh-CN"/>
        </w:rPr>
        <w:t>机械工程</w:t>
      </w:r>
      <w:r>
        <w:rPr>
          <w:rFonts w:hint="eastAsia" w:ascii="Times New Roman" w:hAnsi="Times New Roman" w:eastAsia="仿宋_GB2312" w:cs="Times New Roman"/>
          <w:sz w:val="28"/>
          <w:szCs w:val="28"/>
          <w:highlight w:val="none"/>
        </w:rPr>
        <w:t>学院所有研究生的读书报告，中期考核（检查），以及学位论文开题报告、中期进展报告与</w:t>
      </w:r>
      <w:r>
        <w:rPr>
          <w:rFonts w:hint="eastAsia" w:ascii="Times New Roman" w:hAnsi="Times New Roman" w:eastAsia="仿宋_GB2312" w:cs="Times New Roman"/>
          <w:sz w:val="28"/>
          <w:szCs w:val="28"/>
          <w:highlight w:val="none"/>
          <w:lang w:eastAsia="zh-CN"/>
        </w:rPr>
        <w:t>预审</w:t>
      </w:r>
      <w:r>
        <w:rPr>
          <w:rFonts w:hint="eastAsia"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rPr>
        <w:t>预答辩等工作。涉密学位论文按照学校相关规定执行。以同等学力申请学位者、符合毕业要求的已结业研究生的学位论文开题报告、中期进展报告、预答辩等工作按本办法执行。</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研究生学位申请过程中形成的读书报告，中期考核（检查），开题报告、中期进展报告、预答辩等材料是记录和证明研究生培养过程和获取相应学位的重要档案材料，研究生须做好相关材料的系统上传与纸质材料的提交，以便学院研究生科做好研究生培养过程与学位论文申请材料的归档工作。</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本实施细则自</w:t>
      </w:r>
      <w:r>
        <w:rPr>
          <w:rFonts w:hint="eastAsia" w:ascii="Times New Roman" w:hAnsi="Times New Roman" w:eastAsia="仿宋_GB2312" w:cs="Times New Roman"/>
          <w:sz w:val="28"/>
          <w:szCs w:val="28"/>
          <w:highlight w:val="none"/>
          <w:lang w:eastAsia="zh-CN"/>
        </w:rPr>
        <w:t>发布之日起实施</w:t>
      </w:r>
      <w:r>
        <w:rPr>
          <w:rFonts w:hint="eastAsia" w:ascii="Times New Roman" w:hAnsi="Times New Roman" w:eastAsia="仿宋_GB2312" w:cs="Times New Roman"/>
          <w:sz w:val="28"/>
          <w:szCs w:val="28"/>
          <w:highlight w:val="none"/>
          <w:lang w:val="en-US" w:eastAsia="zh-CN"/>
        </w:rPr>
        <w:t>，</w:t>
      </w:r>
      <w:r>
        <w:rPr>
          <w:rFonts w:hint="eastAsia" w:ascii="Times New Roman" w:hAnsi="Times New Roman" w:eastAsia="仿宋_GB2312" w:cs="Times New Roman"/>
          <w:sz w:val="28"/>
          <w:szCs w:val="28"/>
          <w:highlight w:val="none"/>
        </w:rPr>
        <w:t>其他有关规定与本实施细则不一致的，以本实施细则为准。</w:t>
      </w:r>
    </w:p>
    <w:p>
      <w:pPr>
        <w:spacing w:line="360" w:lineRule="auto"/>
        <w:ind w:firstLine="560" w:firstLineChars="200"/>
        <w:rPr>
          <w:rFonts w:hint="eastAsia"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本</w:t>
      </w:r>
      <w:r>
        <w:rPr>
          <w:rFonts w:hint="eastAsia" w:ascii="Times New Roman" w:hAnsi="Times New Roman" w:eastAsia="仿宋_GB2312" w:cs="Times New Roman"/>
          <w:sz w:val="28"/>
          <w:szCs w:val="28"/>
          <w:highlight w:val="none"/>
          <w:lang w:eastAsia="zh-CN"/>
        </w:rPr>
        <w:t>实施细则</w:t>
      </w:r>
      <w:r>
        <w:rPr>
          <w:rFonts w:hint="eastAsia" w:ascii="Times New Roman" w:hAnsi="Times New Roman" w:eastAsia="仿宋_GB2312" w:cs="Times New Roman"/>
          <w:sz w:val="28"/>
          <w:szCs w:val="28"/>
          <w:highlight w:val="none"/>
        </w:rPr>
        <w:t>由</w:t>
      </w:r>
      <w:r>
        <w:rPr>
          <w:rFonts w:hint="eastAsia" w:ascii="Times New Roman" w:hAnsi="Times New Roman" w:eastAsia="仿宋_GB2312" w:cs="Times New Roman"/>
          <w:sz w:val="28"/>
          <w:szCs w:val="28"/>
          <w:highlight w:val="none"/>
          <w:lang w:eastAsia="zh-CN"/>
        </w:rPr>
        <w:t>机械工程</w:t>
      </w:r>
      <w:r>
        <w:rPr>
          <w:rFonts w:hint="eastAsia" w:ascii="Times New Roman" w:hAnsi="Times New Roman" w:eastAsia="仿宋_GB2312" w:cs="Times New Roman"/>
          <w:sz w:val="28"/>
          <w:szCs w:val="28"/>
          <w:highlight w:val="none"/>
        </w:rPr>
        <w:t>学院负责解释。</w:t>
      </w:r>
    </w:p>
    <w:p>
      <w:pPr>
        <w:spacing w:line="360" w:lineRule="auto"/>
        <w:ind w:firstLine="440" w:firstLineChars="200"/>
        <w:jc w:val="center"/>
        <w:rPr>
          <w:rFonts w:hint="default" w:ascii="Times New Roman" w:hAnsi="Times New Roman" w:eastAsia="仿宋_GB2312" w:cs="Times New Roman"/>
          <w:sz w:val="28"/>
          <w:szCs w:val="28"/>
          <w:highlight w:val="none"/>
          <w:lang w:val="en-US" w:eastAsia="zh-CN"/>
        </w:rPr>
      </w:pPr>
      <w:r>
        <w:rPr>
          <w:rFonts w:hint="eastAsia"/>
          <w:sz w:val="22"/>
          <w:szCs w:val="24"/>
          <w:highlight w:val="none"/>
          <w:lang w:val="en-US" w:eastAsia="zh-CN"/>
        </w:rPr>
        <w:t xml:space="preserve">              </w:t>
      </w:r>
      <w:r>
        <w:rPr>
          <w:rFonts w:hint="eastAsia" w:ascii="Times New Roman" w:hAnsi="Times New Roman" w:eastAsia="仿宋_GB2312" w:cs="Times New Roman"/>
          <w:sz w:val="28"/>
          <w:szCs w:val="28"/>
          <w:highlight w:val="none"/>
          <w:lang w:val="en-US" w:eastAsia="zh-CN"/>
        </w:rPr>
        <w:t xml:space="preserve">                                2021年7月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1096631"/>
      <w:docPartObj>
        <w:docPartGallery w:val="autotext"/>
      </w:docPartObj>
    </w:sdtPr>
    <w:sdtContent>
      <w:sdt>
        <w:sdtPr>
          <w:id w:val="1728636285"/>
          <w:docPartObj>
            <w:docPartGallery w:val="autotext"/>
          </w:docPartObj>
        </w:sdtPr>
        <w:sdtContent>
          <w:p>
            <w:pPr>
              <w:pStyle w:val="6"/>
              <w:jc w:val="center"/>
            </w:pPr>
            <w:r>
              <w:rPr>
                <w:rFonts w:ascii="仿宋" w:hAnsi="仿宋" w:eastAsia="仿宋"/>
                <w:lang w:val="zh-CN"/>
              </w:rPr>
              <w:t xml:space="preserve"> </w:t>
            </w:r>
            <w:r>
              <w:rPr>
                <w:rFonts w:ascii="仿宋" w:hAnsi="仿宋" w:eastAsia="仿宋"/>
                <w:b/>
                <w:bCs/>
                <w:sz w:val="24"/>
                <w:szCs w:val="24"/>
              </w:rPr>
              <w:fldChar w:fldCharType="begin"/>
            </w:r>
            <w:r>
              <w:rPr>
                <w:rFonts w:ascii="仿宋" w:hAnsi="仿宋" w:eastAsia="仿宋"/>
                <w:b/>
                <w:bCs/>
              </w:rPr>
              <w:instrText xml:space="preserve">PAGE</w:instrText>
            </w:r>
            <w:r>
              <w:rPr>
                <w:rFonts w:ascii="仿宋" w:hAnsi="仿宋" w:eastAsia="仿宋"/>
                <w:b/>
                <w:bCs/>
                <w:sz w:val="24"/>
                <w:szCs w:val="24"/>
              </w:rPr>
              <w:fldChar w:fldCharType="separate"/>
            </w:r>
            <w:r>
              <w:rPr>
                <w:rFonts w:ascii="仿宋" w:hAnsi="仿宋" w:eastAsia="仿宋"/>
                <w:b/>
                <w:bCs/>
              </w:rPr>
              <w:t>3</w:t>
            </w:r>
            <w:r>
              <w:rPr>
                <w:rFonts w:ascii="仿宋" w:hAnsi="仿宋" w:eastAsia="仿宋"/>
                <w:b/>
                <w:bCs/>
                <w:sz w:val="24"/>
                <w:szCs w:val="24"/>
              </w:rPr>
              <w:fldChar w:fldCharType="end"/>
            </w:r>
            <w:r>
              <w:rPr>
                <w:rFonts w:ascii="仿宋" w:hAnsi="仿宋" w:eastAsia="仿宋"/>
                <w:lang w:val="zh-CN"/>
              </w:rPr>
              <w:t xml:space="preserve"> / </w:t>
            </w:r>
            <w:r>
              <w:rPr>
                <w:rFonts w:ascii="仿宋" w:hAnsi="仿宋" w:eastAsia="仿宋"/>
                <w:b/>
                <w:bCs/>
                <w:sz w:val="24"/>
                <w:szCs w:val="24"/>
              </w:rPr>
              <w:fldChar w:fldCharType="begin"/>
            </w:r>
            <w:r>
              <w:rPr>
                <w:rFonts w:ascii="仿宋" w:hAnsi="仿宋" w:eastAsia="仿宋"/>
                <w:b/>
                <w:bCs/>
              </w:rPr>
              <w:instrText xml:space="preserve">NUMPAGES</w:instrText>
            </w:r>
            <w:r>
              <w:rPr>
                <w:rFonts w:ascii="仿宋" w:hAnsi="仿宋" w:eastAsia="仿宋"/>
                <w:b/>
                <w:bCs/>
                <w:sz w:val="24"/>
                <w:szCs w:val="24"/>
              </w:rPr>
              <w:fldChar w:fldCharType="separate"/>
            </w:r>
            <w:r>
              <w:rPr>
                <w:rFonts w:ascii="仿宋" w:hAnsi="仿宋" w:eastAsia="仿宋"/>
                <w:b/>
                <w:bCs/>
              </w:rPr>
              <w:t>3</w:t>
            </w:r>
            <w:r>
              <w:rPr>
                <w:rFonts w:ascii="仿宋" w:hAnsi="仿宋" w:eastAsia="仿宋"/>
                <w:b/>
                <w:bCs/>
                <w:sz w:val="24"/>
                <w:szCs w:val="24"/>
              </w:rPr>
              <w:fldChar w:fldCharType="end"/>
            </w:r>
          </w:p>
        </w:sdtContent>
      </w:sdt>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7F6318"/>
    <w:multiLevelType w:val="singleLevel"/>
    <w:tmpl w:val="6B7F6318"/>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94"/>
    <w:rsid w:val="00000B1A"/>
    <w:rsid w:val="00007A64"/>
    <w:rsid w:val="00012F81"/>
    <w:rsid w:val="0001387F"/>
    <w:rsid w:val="000260D3"/>
    <w:rsid w:val="00036DA5"/>
    <w:rsid w:val="00036F20"/>
    <w:rsid w:val="00040A44"/>
    <w:rsid w:val="00070524"/>
    <w:rsid w:val="00071997"/>
    <w:rsid w:val="00072155"/>
    <w:rsid w:val="00074309"/>
    <w:rsid w:val="00074ABB"/>
    <w:rsid w:val="000753F3"/>
    <w:rsid w:val="000A2239"/>
    <w:rsid w:val="000A60F1"/>
    <w:rsid w:val="000B7293"/>
    <w:rsid w:val="000B7DDD"/>
    <w:rsid w:val="000E4C94"/>
    <w:rsid w:val="001009F4"/>
    <w:rsid w:val="00107206"/>
    <w:rsid w:val="0011682C"/>
    <w:rsid w:val="0013224D"/>
    <w:rsid w:val="00136B38"/>
    <w:rsid w:val="00150BB1"/>
    <w:rsid w:val="00152EDD"/>
    <w:rsid w:val="00193F3E"/>
    <w:rsid w:val="0019584F"/>
    <w:rsid w:val="0019601C"/>
    <w:rsid w:val="001A05D9"/>
    <w:rsid w:val="001A17FF"/>
    <w:rsid w:val="001A50C8"/>
    <w:rsid w:val="001A5551"/>
    <w:rsid w:val="001B2C81"/>
    <w:rsid w:val="001B7C0E"/>
    <w:rsid w:val="001C29FE"/>
    <w:rsid w:val="001D28C3"/>
    <w:rsid w:val="001E053F"/>
    <w:rsid w:val="001F24CD"/>
    <w:rsid w:val="001F7B90"/>
    <w:rsid w:val="00206151"/>
    <w:rsid w:val="002212D3"/>
    <w:rsid w:val="00230875"/>
    <w:rsid w:val="00243B81"/>
    <w:rsid w:val="002464B2"/>
    <w:rsid w:val="00250E04"/>
    <w:rsid w:val="00252E73"/>
    <w:rsid w:val="00253842"/>
    <w:rsid w:val="0027113A"/>
    <w:rsid w:val="00273C1A"/>
    <w:rsid w:val="00291A0B"/>
    <w:rsid w:val="002B3CBF"/>
    <w:rsid w:val="002B7D98"/>
    <w:rsid w:val="002E1BFC"/>
    <w:rsid w:val="002F480E"/>
    <w:rsid w:val="002F7B1E"/>
    <w:rsid w:val="0030156C"/>
    <w:rsid w:val="00301D46"/>
    <w:rsid w:val="00312125"/>
    <w:rsid w:val="00313E1C"/>
    <w:rsid w:val="00321C67"/>
    <w:rsid w:val="00324DA5"/>
    <w:rsid w:val="003462CF"/>
    <w:rsid w:val="003476F6"/>
    <w:rsid w:val="00352BF3"/>
    <w:rsid w:val="00383499"/>
    <w:rsid w:val="00395FC0"/>
    <w:rsid w:val="003B1A70"/>
    <w:rsid w:val="003B2671"/>
    <w:rsid w:val="003D5C81"/>
    <w:rsid w:val="003D654A"/>
    <w:rsid w:val="003E6D01"/>
    <w:rsid w:val="003F3F5F"/>
    <w:rsid w:val="0040608B"/>
    <w:rsid w:val="00414E07"/>
    <w:rsid w:val="0041663B"/>
    <w:rsid w:val="004167D1"/>
    <w:rsid w:val="0042548E"/>
    <w:rsid w:val="00436860"/>
    <w:rsid w:val="00440B0A"/>
    <w:rsid w:val="00444008"/>
    <w:rsid w:val="0045048F"/>
    <w:rsid w:val="004513F8"/>
    <w:rsid w:val="004814D9"/>
    <w:rsid w:val="00486515"/>
    <w:rsid w:val="004C37EC"/>
    <w:rsid w:val="004D2714"/>
    <w:rsid w:val="004D4A3B"/>
    <w:rsid w:val="004E74E7"/>
    <w:rsid w:val="004F39CB"/>
    <w:rsid w:val="005073EC"/>
    <w:rsid w:val="00511F21"/>
    <w:rsid w:val="00516186"/>
    <w:rsid w:val="00521DE2"/>
    <w:rsid w:val="00532E72"/>
    <w:rsid w:val="00532F85"/>
    <w:rsid w:val="00546CD9"/>
    <w:rsid w:val="0055284D"/>
    <w:rsid w:val="00597932"/>
    <w:rsid w:val="005A18C1"/>
    <w:rsid w:val="005B3C82"/>
    <w:rsid w:val="005B545B"/>
    <w:rsid w:val="005B5A47"/>
    <w:rsid w:val="005C057B"/>
    <w:rsid w:val="005C18F7"/>
    <w:rsid w:val="005E3B59"/>
    <w:rsid w:val="005F2AE5"/>
    <w:rsid w:val="00602C9B"/>
    <w:rsid w:val="00615603"/>
    <w:rsid w:val="00617C4D"/>
    <w:rsid w:val="00621603"/>
    <w:rsid w:val="006321B3"/>
    <w:rsid w:val="00642C8A"/>
    <w:rsid w:val="00645ED1"/>
    <w:rsid w:val="00653CD5"/>
    <w:rsid w:val="00661437"/>
    <w:rsid w:val="00662858"/>
    <w:rsid w:val="00684C0B"/>
    <w:rsid w:val="00691332"/>
    <w:rsid w:val="0069206B"/>
    <w:rsid w:val="00692E75"/>
    <w:rsid w:val="00693766"/>
    <w:rsid w:val="006940A9"/>
    <w:rsid w:val="006A6F49"/>
    <w:rsid w:val="006C2BE1"/>
    <w:rsid w:val="006C4456"/>
    <w:rsid w:val="006E0652"/>
    <w:rsid w:val="006E328E"/>
    <w:rsid w:val="006E7102"/>
    <w:rsid w:val="006E7926"/>
    <w:rsid w:val="007272B4"/>
    <w:rsid w:val="0073475E"/>
    <w:rsid w:val="00743B2E"/>
    <w:rsid w:val="00746728"/>
    <w:rsid w:val="00757972"/>
    <w:rsid w:val="00760554"/>
    <w:rsid w:val="00771C23"/>
    <w:rsid w:val="007735EC"/>
    <w:rsid w:val="00774987"/>
    <w:rsid w:val="00783A03"/>
    <w:rsid w:val="00794EF9"/>
    <w:rsid w:val="007977B1"/>
    <w:rsid w:val="007A4687"/>
    <w:rsid w:val="007A6F65"/>
    <w:rsid w:val="007B76CB"/>
    <w:rsid w:val="007D3DF7"/>
    <w:rsid w:val="007E2151"/>
    <w:rsid w:val="007E4EDF"/>
    <w:rsid w:val="007F23D7"/>
    <w:rsid w:val="007F2B17"/>
    <w:rsid w:val="00810003"/>
    <w:rsid w:val="00825880"/>
    <w:rsid w:val="0084359E"/>
    <w:rsid w:val="00854AA6"/>
    <w:rsid w:val="00857810"/>
    <w:rsid w:val="00861685"/>
    <w:rsid w:val="008C2B3D"/>
    <w:rsid w:val="008C689A"/>
    <w:rsid w:val="008C74C0"/>
    <w:rsid w:val="008D67FC"/>
    <w:rsid w:val="008E6F64"/>
    <w:rsid w:val="009050E1"/>
    <w:rsid w:val="009112F9"/>
    <w:rsid w:val="00916200"/>
    <w:rsid w:val="00916D79"/>
    <w:rsid w:val="009209FC"/>
    <w:rsid w:val="00921735"/>
    <w:rsid w:val="009344C1"/>
    <w:rsid w:val="00935DB8"/>
    <w:rsid w:val="00952B6F"/>
    <w:rsid w:val="009534DC"/>
    <w:rsid w:val="00960E81"/>
    <w:rsid w:val="00963530"/>
    <w:rsid w:val="009701FA"/>
    <w:rsid w:val="00974A33"/>
    <w:rsid w:val="009778C1"/>
    <w:rsid w:val="0099016B"/>
    <w:rsid w:val="00996C07"/>
    <w:rsid w:val="009A117B"/>
    <w:rsid w:val="009A1418"/>
    <w:rsid w:val="009A3686"/>
    <w:rsid w:val="009B3030"/>
    <w:rsid w:val="009D0D8F"/>
    <w:rsid w:val="009E02EB"/>
    <w:rsid w:val="009F67BB"/>
    <w:rsid w:val="00A0433C"/>
    <w:rsid w:val="00A26AD8"/>
    <w:rsid w:val="00A27E46"/>
    <w:rsid w:val="00A331B3"/>
    <w:rsid w:val="00A37E68"/>
    <w:rsid w:val="00A41419"/>
    <w:rsid w:val="00A56655"/>
    <w:rsid w:val="00A615B2"/>
    <w:rsid w:val="00A64E24"/>
    <w:rsid w:val="00A91D0D"/>
    <w:rsid w:val="00AA1CF9"/>
    <w:rsid w:val="00AD0E24"/>
    <w:rsid w:val="00AE5066"/>
    <w:rsid w:val="00AF498B"/>
    <w:rsid w:val="00B119FC"/>
    <w:rsid w:val="00B24F4A"/>
    <w:rsid w:val="00B36318"/>
    <w:rsid w:val="00B61A41"/>
    <w:rsid w:val="00B74B28"/>
    <w:rsid w:val="00B75963"/>
    <w:rsid w:val="00B97194"/>
    <w:rsid w:val="00BA0229"/>
    <w:rsid w:val="00BB07DE"/>
    <w:rsid w:val="00BB71B8"/>
    <w:rsid w:val="00BC19E0"/>
    <w:rsid w:val="00BD08F2"/>
    <w:rsid w:val="00BD5E12"/>
    <w:rsid w:val="00C07215"/>
    <w:rsid w:val="00C15389"/>
    <w:rsid w:val="00C2541C"/>
    <w:rsid w:val="00C404F1"/>
    <w:rsid w:val="00C410BF"/>
    <w:rsid w:val="00C51FE1"/>
    <w:rsid w:val="00C62A09"/>
    <w:rsid w:val="00C716FD"/>
    <w:rsid w:val="00C746B8"/>
    <w:rsid w:val="00C8245D"/>
    <w:rsid w:val="00C87BC9"/>
    <w:rsid w:val="00CE0E53"/>
    <w:rsid w:val="00CE7151"/>
    <w:rsid w:val="00D0119A"/>
    <w:rsid w:val="00D0348E"/>
    <w:rsid w:val="00D0746C"/>
    <w:rsid w:val="00D13B30"/>
    <w:rsid w:val="00D16066"/>
    <w:rsid w:val="00D165AE"/>
    <w:rsid w:val="00D27D23"/>
    <w:rsid w:val="00D347DA"/>
    <w:rsid w:val="00D546D7"/>
    <w:rsid w:val="00D6413E"/>
    <w:rsid w:val="00D87221"/>
    <w:rsid w:val="00D8791B"/>
    <w:rsid w:val="00D87A4C"/>
    <w:rsid w:val="00D9490E"/>
    <w:rsid w:val="00D95ABB"/>
    <w:rsid w:val="00DA7FC5"/>
    <w:rsid w:val="00DB44D7"/>
    <w:rsid w:val="00DD00CD"/>
    <w:rsid w:val="00DD1BE6"/>
    <w:rsid w:val="00DD219F"/>
    <w:rsid w:val="00DD6287"/>
    <w:rsid w:val="00DE4863"/>
    <w:rsid w:val="00DF36BB"/>
    <w:rsid w:val="00DF376F"/>
    <w:rsid w:val="00E02CE8"/>
    <w:rsid w:val="00E21CF8"/>
    <w:rsid w:val="00E23FA7"/>
    <w:rsid w:val="00E337CE"/>
    <w:rsid w:val="00E340FA"/>
    <w:rsid w:val="00E4484A"/>
    <w:rsid w:val="00E63962"/>
    <w:rsid w:val="00E803FF"/>
    <w:rsid w:val="00E81234"/>
    <w:rsid w:val="00E9462F"/>
    <w:rsid w:val="00EA1EF9"/>
    <w:rsid w:val="00EA7F2F"/>
    <w:rsid w:val="00EB3BA9"/>
    <w:rsid w:val="00EC0103"/>
    <w:rsid w:val="00EC04BA"/>
    <w:rsid w:val="00ED7D78"/>
    <w:rsid w:val="00EE192F"/>
    <w:rsid w:val="00EE1CC7"/>
    <w:rsid w:val="00F06FBA"/>
    <w:rsid w:val="00F14D70"/>
    <w:rsid w:val="00F27C9D"/>
    <w:rsid w:val="00F33BDF"/>
    <w:rsid w:val="00F344B4"/>
    <w:rsid w:val="00F41CF1"/>
    <w:rsid w:val="00F64B5B"/>
    <w:rsid w:val="00F86442"/>
    <w:rsid w:val="00F87040"/>
    <w:rsid w:val="00F963CC"/>
    <w:rsid w:val="00FA171D"/>
    <w:rsid w:val="00FA33C2"/>
    <w:rsid w:val="00FA4E6B"/>
    <w:rsid w:val="00FA7449"/>
    <w:rsid w:val="00FA7A62"/>
    <w:rsid w:val="00FB18A2"/>
    <w:rsid w:val="00FC50F3"/>
    <w:rsid w:val="01162AF2"/>
    <w:rsid w:val="02D01F4C"/>
    <w:rsid w:val="048A2A5E"/>
    <w:rsid w:val="061F077D"/>
    <w:rsid w:val="0733684B"/>
    <w:rsid w:val="07B565BC"/>
    <w:rsid w:val="07BF5BB3"/>
    <w:rsid w:val="07F120A2"/>
    <w:rsid w:val="090B256D"/>
    <w:rsid w:val="09107E48"/>
    <w:rsid w:val="0911073F"/>
    <w:rsid w:val="09563B19"/>
    <w:rsid w:val="0A4A57F4"/>
    <w:rsid w:val="0E2909E3"/>
    <w:rsid w:val="0EEA4696"/>
    <w:rsid w:val="0EFC6174"/>
    <w:rsid w:val="0FD56D0E"/>
    <w:rsid w:val="107A73E3"/>
    <w:rsid w:val="10876F2A"/>
    <w:rsid w:val="11D97697"/>
    <w:rsid w:val="1264208E"/>
    <w:rsid w:val="130D5B86"/>
    <w:rsid w:val="16B43AD5"/>
    <w:rsid w:val="171A7F03"/>
    <w:rsid w:val="184450DD"/>
    <w:rsid w:val="18774B2B"/>
    <w:rsid w:val="1A812168"/>
    <w:rsid w:val="1B577840"/>
    <w:rsid w:val="1B9F000B"/>
    <w:rsid w:val="1C160D89"/>
    <w:rsid w:val="1D490FCB"/>
    <w:rsid w:val="1DC04BC8"/>
    <w:rsid w:val="1F5E66DC"/>
    <w:rsid w:val="204940CC"/>
    <w:rsid w:val="20D01594"/>
    <w:rsid w:val="229432C0"/>
    <w:rsid w:val="231C7143"/>
    <w:rsid w:val="244C1CF8"/>
    <w:rsid w:val="25737C9F"/>
    <w:rsid w:val="26092163"/>
    <w:rsid w:val="278F1005"/>
    <w:rsid w:val="288151EA"/>
    <w:rsid w:val="28E72A94"/>
    <w:rsid w:val="298A0EF7"/>
    <w:rsid w:val="2AA034AC"/>
    <w:rsid w:val="2AB02747"/>
    <w:rsid w:val="2BA87D5E"/>
    <w:rsid w:val="2BAA1987"/>
    <w:rsid w:val="2C460387"/>
    <w:rsid w:val="2C8927B6"/>
    <w:rsid w:val="2D0E224D"/>
    <w:rsid w:val="2D5251AD"/>
    <w:rsid w:val="2E62238E"/>
    <w:rsid w:val="31F36DC0"/>
    <w:rsid w:val="32244D51"/>
    <w:rsid w:val="324341AD"/>
    <w:rsid w:val="32997A3D"/>
    <w:rsid w:val="3473352A"/>
    <w:rsid w:val="38757C9C"/>
    <w:rsid w:val="3A996AD8"/>
    <w:rsid w:val="3BD2423D"/>
    <w:rsid w:val="3BDF6414"/>
    <w:rsid w:val="3DF304BE"/>
    <w:rsid w:val="3F011824"/>
    <w:rsid w:val="40AE4EDB"/>
    <w:rsid w:val="41000EF6"/>
    <w:rsid w:val="45F67F99"/>
    <w:rsid w:val="47CE5D08"/>
    <w:rsid w:val="4A262C71"/>
    <w:rsid w:val="4D2A0632"/>
    <w:rsid w:val="4F16409E"/>
    <w:rsid w:val="52D72A75"/>
    <w:rsid w:val="52EB2EB5"/>
    <w:rsid w:val="55D70FC0"/>
    <w:rsid w:val="572875D3"/>
    <w:rsid w:val="575D471F"/>
    <w:rsid w:val="57CC1B15"/>
    <w:rsid w:val="5927126D"/>
    <w:rsid w:val="595270D2"/>
    <w:rsid w:val="5AEA10A2"/>
    <w:rsid w:val="5B004024"/>
    <w:rsid w:val="5B8D2025"/>
    <w:rsid w:val="5C3E1BFC"/>
    <w:rsid w:val="5DAC7F8F"/>
    <w:rsid w:val="5DC03287"/>
    <w:rsid w:val="5DD50457"/>
    <w:rsid w:val="5E6A64EA"/>
    <w:rsid w:val="5ED50223"/>
    <w:rsid w:val="5FBD1416"/>
    <w:rsid w:val="611A52BA"/>
    <w:rsid w:val="63E8346A"/>
    <w:rsid w:val="64BA35D7"/>
    <w:rsid w:val="64EC3D71"/>
    <w:rsid w:val="66034087"/>
    <w:rsid w:val="668D5F59"/>
    <w:rsid w:val="66C0739E"/>
    <w:rsid w:val="67E236B8"/>
    <w:rsid w:val="6C0E0CE0"/>
    <w:rsid w:val="6C32766D"/>
    <w:rsid w:val="6C7D7294"/>
    <w:rsid w:val="71B14AE4"/>
    <w:rsid w:val="71F84899"/>
    <w:rsid w:val="7217288A"/>
    <w:rsid w:val="727336DC"/>
    <w:rsid w:val="72F700AF"/>
    <w:rsid w:val="74041EDD"/>
    <w:rsid w:val="74F63529"/>
    <w:rsid w:val="751E1D85"/>
    <w:rsid w:val="756D0BA0"/>
    <w:rsid w:val="75C84766"/>
    <w:rsid w:val="75E64652"/>
    <w:rsid w:val="76CA0D0B"/>
    <w:rsid w:val="77792816"/>
    <w:rsid w:val="77B530FF"/>
    <w:rsid w:val="7DA6018E"/>
    <w:rsid w:val="7FAD5C7C"/>
    <w:rsid w:val="7FAF5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unhideWhenUsed/>
    <w:qFormat/>
    <w:uiPriority w:val="99"/>
    <w:pPr>
      <w:jc w:val="left"/>
    </w:pPr>
  </w:style>
  <w:style w:type="paragraph" w:styleId="4">
    <w:name w:val="Body Text Indent"/>
    <w:basedOn w:val="1"/>
    <w:link w:val="17"/>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Balloon Text"/>
    <w:basedOn w:val="1"/>
    <w:link w:val="22"/>
    <w:semiHidden/>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1"/>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标题 2 字符"/>
    <w:basedOn w:val="11"/>
    <w:link w:val="2"/>
    <w:qFormat/>
    <w:uiPriority w:val="9"/>
    <w:rPr>
      <w:rFonts w:ascii="宋体" w:hAnsi="宋体" w:eastAsia="宋体" w:cs="宋体"/>
      <w:b/>
      <w:bCs/>
      <w:kern w:val="0"/>
      <w:sz w:val="36"/>
      <w:szCs w:val="36"/>
    </w:rPr>
  </w:style>
  <w:style w:type="paragraph" w:customStyle="1" w:styleId="15">
    <w:name w:val="art-summary"/>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wp_visitcount"/>
    <w:basedOn w:val="11"/>
    <w:qFormat/>
    <w:uiPriority w:val="0"/>
  </w:style>
  <w:style w:type="character" w:customStyle="1" w:styleId="17">
    <w:name w:val="正文文本缩进 字符"/>
    <w:basedOn w:val="11"/>
    <w:link w:val="4"/>
    <w:semiHidden/>
    <w:qFormat/>
    <w:uiPriority w:val="99"/>
    <w:rPr>
      <w:rFonts w:ascii="宋体" w:hAnsi="宋体" w:eastAsia="宋体" w:cs="宋体"/>
      <w:kern w:val="0"/>
      <w:sz w:val="24"/>
      <w:szCs w:val="24"/>
    </w:rPr>
  </w:style>
  <w:style w:type="character" w:customStyle="1" w:styleId="18">
    <w:name w:val="页眉 字符"/>
    <w:basedOn w:val="11"/>
    <w:link w:val="7"/>
    <w:qFormat/>
    <w:uiPriority w:val="99"/>
    <w:rPr>
      <w:sz w:val="18"/>
      <w:szCs w:val="18"/>
    </w:rPr>
  </w:style>
  <w:style w:type="character" w:customStyle="1" w:styleId="19">
    <w:name w:val="页脚 字符"/>
    <w:basedOn w:val="11"/>
    <w:link w:val="6"/>
    <w:qFormat/>
    <w:uiPriority w:val="99"/>
    <w:rPr>
      <w:sz w:val="18"/>
      <w:szCs w:val="18"/>
    </w:rPr>
  </w:style>
  <w:style w:type="character" w:customStyle="1" w:styleId="20">
    <w:name w:val="批注文字 字符"/>
    <w:basedOn w:val="11"/>
    <w:link w:val="3"/>
    <w:semiHidden/>
    <w:qFormat/>
    <w:uiPriority w:val="99"/>
  </w:style>
  <w:style w:type="character" w:customStyle="1" w:styleId="21">
    <w:name w:val="批注主题 字符"/>
    <w:basedOn w:val="20"/>
    <w:link w:val="8"/>
    <w:semiHidden/>
    <w:qFormat/>
    <w:uiPriority w:val="99"/>
    <w:rPr>
      <w:b/>
      <w:bCs/>
    </w:rPr>
  </w:style>
  <w:style w:type="character" w:customStyle="1" w:styleId="22">
    <w:name w:val="批注框文本 字符"/>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5346E7-B56A-41AF-8B13-4158123C64D1}">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297</Words>
  <Characters>1695</Characters>
  <Lines>14</Lines>
  <Paragraphs>3</Paragraphs>
  <TotalTime>34</TotalTime>
  <ScaleCrop>false</ScaleCrop>
  <LinksUpToDate>false</LinksUpToDate>
  <CharactersWithSpaces>1989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2020-12-17T08:58:00Z</dcterms:created>
  <dc:creator>zju</dc:creator>
  <cp:lastModifiedBy>小桥流水</cp:lastModifiedBy>
  <cp:lastPrinted>2021-07-06T06:58:00Z</cp:lastPrinted>
  <dcterms:modified xsi:type="dcterms:W3CDTF">2021-07-13T02:44:00Z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2DD6793E815D4A9591F3F97701CDE344</vt:lpwstr>
  </property>
</Properties>
</file>