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9BB07" w14:textId="7BFF8CC5" w:rsidR="00FA0003" w:rsidRDefault="00AC737C" w:rsidP="006320A1">
      <w:pPr>
        <w:jc w:val="center"/>
        <w:rPr>
          <w:rFonts w:ascii="黑体" w:eastAsia="黑体" w:hAnsi="黑体" w:cs="黑体"/>
          <w:b/>
          <w:bCs/>
          <w:sz w:val="36"/>
          <w:szCs w:val="36"/>
        </w:rPr>
      </w:pPr>
      <w:r w:rsidRPr="00C236B7">
        <w:rPr>
          <w:rFonts w:ascii="黑体" w:eastAsia="黑体" w:hAnsi="黑体" w:cs="黑体" w:hint="eastAsia"/>
          <w:b/>
          <w:bCs/>
          <w:sz w:val="36"/>
          <w:szCs w:val="36"/>
        </w:rPr>
        <w:t>浙江大学-博智林机器人联合研究中心项目管理办法</w:t>
      </w:r>
    </w:p>
    <w:p w14:paraId="15C86BF6" w14:textId="77777777" w:rsidR="00C236B7" w:rsidRDefault="00C236B7" w:rsidP="006320A1">
      <w:pPr>
        <w:jc w:val="center"/>
        <w:rPr>
          <w:rFonts w:ascii="仿宋" w:eastAsia="仿宋" w:hAnsi="仿宋" w:cs="仿宋"/>
          <w:sz w:val="32"/>
          <w:szCs w:val="32"/>
        </w:rPr>
      </w:pPr>
    </w:p>
    <w:p w14:paraId="6C88CA71" w14:textId="77777777" w:rsidR="00AC737C" w:rsidRPr="00C236B7" w:rsidRDefault="00AC737C" w:rsidP="00C236B7">
      <w:pPr>
        <w:pStyle w:val="1"/>
        <w:ind w:left="720" w:firstLineChars="0" w:hanging="720"/>
        <w:textAlignment w:val="baseline"/>
        <w:rPr>
          <w:b/>
          <w:bCs/>
          <w:sz w:val="28"/>
          <w:szCs w:val="28"/>
        </w:rPr>
      </w:pPr>
      <w:r w:rsidRPr="00C236B7">
        <w:rPr>
          <w:rFonts w:hint="eastAsia"/>
          <w:b/>
          <w:bCs/>
          <w:sz w:val="28"/>
          <w:szCs w:val="28"/>
        </w:rPr>
        <w:t>一、总则</w:t>
      </w:r>
    </w:p>
    <w:p w14:paraId="56CB3527" w14:textId="01DEF6E0" w:rsidR="00AC737C" w:rsidRDefault="008F453F" w:rsidP="00C236B7">
      <w:pPr>
        <w:ind w:firstLineChars="200" w:firstLine="640"/>
        <w:rPr>
          <w:rFonts w:ascii="仿宋" w:eastAsia="仿宋" w:hAnsi="仿宋" w:cs="仿宋"/>
          <w:sz w:val="32"/>
          <w:szCs w:val="32"/>
        </w:rPr>
      </w:pPr>
      <w:r>
        <w:rPr>
          <w:rFonts w:ascii="仿宋" w:eastAsia="仿宋" w:hAnsi="仿宋" w:cs="仿宋" w:hint="eastAsia"/>
          <w:sz w:val="32"/>
          <w:szCs w:val="32"/>
        </w:rPr>
        <w:t>浙江大学和广东博智林机器人有限公司（以下简称“博</w:t>
      </w:r>
      <w:bookmarkStart w:id="0" w:name="_GoBack"/>
      <w:bookmarkEnd w:id="0"/>
      <w:r>
        <w:rPr>
          <w:rFonts w:ascii="仿宋" w:eastAsia="仿宋" w:hAnsi="仿宋" w:cs="仿宋" w:hint="eastAsia"/>
          <w:sz w:val="32"/>
          <w:szCs w:val="32"/>
        </w:rPr>
        <w:t>智林”）共建</w:t>
      </w:r>
      <w:r w:rsidRPr="007C130F">
        <w:rPr>
          <w:rFonts w:ascii="仿宋" w:eastAsia="仿宋" w:hAnsi="仿宋" w:cs="仿宋" w:hint="eastAsia"/>
          <w:sz w:val="32"/>
          <w:szCs w:val="32"/>
        </w:rPr>
        <w:t>浙江大学-博智林机器人联合</w:t>
      </w:r>
      <w:r>
        <w:rPr>
          <w:rFonts w:ascii="仿宋" w:eastAsia="仿宋" w:hAnsi="仿宋" w:cs="仿宋" w:hint="eastAsia"/>
          <w:sz w:val="32"/>
          <w:szCs w:val="32"/>
        </w:rPr>
        <w:t>研究中心（以下简称“研究中心”），</w:t>
      </w:r>
      <w:r w:rsidR="00AC737C">
        <w:rPr>
          <w:rFonts w:ascii="仿宋" w:eastAsia="仿宋" w:hAnsi="仿宋" w:cs="仿宋" w:hint="eastAsia"/>
          <w:sz w:val="32"/>
          <w:szCs w:val="32"/>
        </w:rPr>
        <w:t>为提高</w:t>
      </w:r>
      <w:r>
        <w:rPr>
          <w:rFonts w:ascii="仿宋" w:eastAsia="仿宋" w:hAnsi="仿宋" w:cs="仿宋" w:hint="eastAsia"/>
          <w:sz w:val="32"/>
          <w:szCs w:val="32"/>
        </w:rPr>
        <w:t>研究中心</w:t>
      </w:r>
      <w:r w:rsidR="00AC737C">
        <w:rPr>
          <w:rFonts w:ascii="仿宋" w:eastAsia="仿宋" w:hAnsi="仿宋" w:cs="仿宋" w:hint="eastAsia"/>
          <w:sz w:val="32"/>
          <w:szCs w:val="32"/>
        </w:rPr>
        <w:t>科技创新水平，加强规范科研项目管理，根据研究中心的有关规定并结合研究中心的实际情况，制定本管理办法。</w:t>
      </w:r>
    </w:p>
    <w:p w14:paraId="4CC30CC8" w14:textId="18D38ADE" w:rsidR="00AC737C" w:rsidRPr="00C236B7" w:rsidRDefault="00AC737C" w:rsidP="00C236B7">
      <w:pPr>
        <w:pStyle w:val="1"/>
        <w:ind w:left="720" w:firstLineChars="0" w:hanging="720"/>
        <w:textAlignment w:val="baseline"/>
        <w:rPr>
          <w:b/>
          <w:bCs/>
          <w:sz w:val="28"/>
          <w:szCs w:val="28"/>
        </w:rPr>
      </w:pPr>
      <w:r w:rsidRPr="00C236B7">
        <w:rPr>
          <w:rFonts w:hint="eastAsia"/>
          <w:b/>
          <w:bCs/>
          <w:sz w:val="28"/>
          <w:szCs w:val="28"/>
        </w:rPr>
        <w:t>二、</w:t>
      </w:r>
      <w:r w:rsidR="008F453F" w:rsidRPr="00C236B7">
        <w:rPr>
          <w:rFonts w:hint="eastAsia"/>
          <w:b/>
          <w:bCs/>
          <w:sz w:val="28"/>
          <w:szCs w:val="28"/>
        </w:rPr>
        <w:t>项目范围</w:t>
      </w:r>
    </w:p>
    <w:p w14:paraId="71CE38E8" w14:textId="5740BB74" w:rsidR="00AC737C" w:rsidRPr="00C236B7" w:rsidRDefault="008F453F"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双方将在前沿探索类及技术攻关类项目方面根据博智林提出的需求开展科研合作，浙江大学提供项目研究所需的专家和技术支持，并以合同约定形式完成相关工作。具体合作内容、项目经费、知识产权及禁约</w:t>
      </w:r>
      <w:r w:rsidRPr="00C236B7">
        <w:rPr>
          <w:rFonts w:ascii="仿宋" w:eastAsia="仿宋" w:hAnsi="仿宋" w:cs="仿宋"/>
          <w:sz w:val="32"/>
          <w:szCs w:val="32"/>
        </w:rPr>
        <w:t>保密</w:t>
      </w:r>
      <w:r w:rsidRPr="00C236B7">
        <w:rPr>
          <w:rFonts w:ascii="仿宋" w:eastAsia="仿宋" w:hAnsi="仿宋" w:cs="仿宋" w:hint="eastAsia"/>
          <w:sz w:val="32"/>
          <w:szCs w:val="32"/>
        </w:rPr>
        <w:t>等</w:t>
      </w:r>
      <w:r w:rsidRPr="00C236B7">
        <w:rPr>
          <w:rFonts w:ascii="仿宋" w:eastAsia="仿宋" w:hAnsi="仿宋" w:cs="仿宋"/>
          <w:sz w:val="32"/>
          <w:szCs w:val="32"/>
        </w:rPr>
        <w:t>内容</w:t>
      </w:r>
      <w:r w:rsidRPr="00C236B7">
        <w:rPr>
          <w:rFonts w:ascii="仿宋" w:eastAsia="仿宋" w:hAnsi="仿宋" w:cs="仿宋" w:hint="eastAsia"/>
          <w:sz w:val="32"/>
          <w:szCs w:val="32"/>
        </w:rPr>
        <w:t>在符合</w:t>
      </w:r>
      <w:r w:rsidR="00C236B7" w:rsidRPr="00C236B7">
        <w:rPr>
          <w:rFonts w:ascii="仿宋" w:eastAsia="仿宋" w:hAnsi="仿宋" w:cs="仿宋" w:hint="eastAsia"/>
          <w:sz w:val="32"/>
          <w:szCs w:val="32"/>
        </w:rPr>
        <w:t>研究中心</w:t>
      </w:r>
      <w:r w:rsidRPr="00C236B7">
        <w:rPr>
          <w:rFonts w:ascii="仿宋" w:eastAsia="仿宋" w:hAnsi="仿宋" w:cs="仿宋" w:hint="eastAsia"/>
          <w:sz w:val="32"/>
          <w:szCs w:val="32"/>
        </w:rPr>
        <w:t>章程基本规定的基础上，可签订</w:t>
      </w:r>
      <w:r w:rsidRPr="00C236B7">
        <w:rPr>
          <w:rFonts w:ascii="仿宋" w:eastAsia="仿宋" w:hAnsi="仿宋" w:cs="仿宋"/>
          <w:sz w:val="32"/>
          <w:szCs w:val="32"/>
        </w:rPr>
        <w:t>正式合同</w:t>
      </w:r>
      <w:r w:rsidRPr="00C236B7">
        <w:rPr>
          <w:rFonts w:ascii="仿宋" w:eastAsia="仿宋" w:hAnsi="仿宋" w:cs="仿宋" w:hint="eastAsia"/>
          <w:sz w:val="32"/>
          <w:szCs w:val="32"/>
        </w:rPr>
        <w:t>进行约定</w:t>
      </w:r>
      <w:r w:rsidR="00C236B7" w:rsidRPr="00C236B7">
        <w:rPr>
          <w:rFonts w:ascii="仿宋" w:eastAsia="仿宋" w:hAnsi="仿宋" w:cs="仿宋" w:hint="eastAsia"/>
          <w:sz w:val="32"/>
          <w:szCs w:val="32"/>
        </w:rPr>
        <w:t>。</w:t>
      </w:r>
    </w:p>
    <w:p w14:paraId="696445A7" w14:textId="229A297A" w:rsidR="00C236B7" w:rsidRPr="00C236B7" w:rsidRDefault="00C236B7" w:rsidP="00C236B7">
      <w:pPr>
        <w:pStyle w:val="1"/>
        <w:ind w:left="720" w:firstLineChars="0" w:hanging="720"/>
        <w:textAlignment w:val="baseline"/>
        <w:rPr>
          <w:b/>
          <w:bCs/>
          <w:sz w:val="28"/>
          <w:szCs w:val="28"/>
        </w:rPr>
      </w:pPr>
      <w:r w:rsidRPr="00C236B7">
        <w:rPr>
          <w:rFonts w:hint="eastAsia"/>
          <w:b/>
          <w:bCs/>
          <w:sz w:val="28"/>
          <w:szCs w:val="28"/>
        </w:rPr>
        <w:t>三、项目管理</w:t>
      </w:r>
    </w:p>
    <w:p w14:paraId="5DA6292D" w14:textId="77777777"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科研项目采取指南发布、项目申报与评审、任务书签订、经费拨付和使用、项目实施、检查与验收全链条管理。</w:t>
      </w:r>
    </w:p>
    <w:p w14:paraId="4A8690D1" w14:textId="77777777"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1. 指南发布。浙江大学-博智林机器人联合研究中心（下文称“研究中心”）每年组织指南发布。由博智林提出科研任务需求，提交专家委员会评审，评审通过的需求形成申报指南，经研究中心主任、副主任联合审批后予以在浙江大学全校发布。中心主任可特批1项前沿探索类项目需求，由</w:t>
      </w:r>
      <w:r w:rsidRPr="00C236B7">
        <w:rPr>
          <w:rFonts w:ascii="仿宋" w:eastAsia="仿宋" w:hAnsi="仿宋" w:cs="仿宋" w:hint="eastAsia"/>
          <w:sz w:val="32"/>
          <w:szCs w:val="32"/>
        </w:rPr>
        <w:lastRenderedPageBreak/>
        <w:t>中心主任提出并立项发布。</w:t>
      </w:r>
    </w:p>
    <w:p w14:paraId="276E8A3A" w14:textId="77777777"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2. 项目申报与评审。研究中心负责组织相关院系的科研团队进行申报，专家委员会负责项目评审,确定拟立项项目。</w:t>
      </w:r>
    </w:p>
    <w:p w14:paraId="56B9A6EA" w14:textId="77777777"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3. 任务书签订。专家委员会将评审确定的拟立项项目报研究中心主任、副主任联合审批后，浙江大学老师团队与博智林签订任务书。</w:t>
      </w:r>
    </w:p>
    <w:p w14:paraId="2B4542AA" w14:textId="77777777"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4. 经费拨付和使用。研究中心向浙江大学教育基金会提报立项项目，基金会根据签订的任务书拨付经费至项目负责人团队，前沿探索类项目经费拨付节奏为</w:t>
      </w:r>
      <w:r w:rsidRPr="00C236B7">
        <w:rPr>
          <w:rFonts w:ascii="仿宋" w:eastAsia="仿宋" w:hAnsi="仿宋" w:cs="仿宋"/>
          <w:sz w:val="32"/>
          <w:szCs w:val="32"/>
        </w:rPr>
        <w:t>6</w:t>
      </w:r>
      <w:r w:rsidRPr="00C236B7">
        <w:rPr>
          <w:rFonts w:ascii="仿宋" w:eastAsia="仿宋" w:hAnsi="仿宋" w:cs="仿宋" w:hint="eastAsia"/>
          <w:sz w:val="32"/>
          <w:szCs w:val="32"/>
        </w:rPr>
        <w:t>:</w:t>
      </w:r>
      <w:r w:rsidRPr="00C236B7">
        <w:rPr>
          <w:rFonts w:ascii="仿宋" w:eastAsia="仿宋" w:hAnsi="仿宋" w:cs="仿宋"/>
          <w:sz w:val="32"/>
          <w:szCs w:val="32"/>
        </w:rPr>
        <w:t>4</w:t>
      </w:r>
      <w:r w:rsidRPr="00C236B7">
        <w:rPr>
          <w:rFonts w:ascii="仿宋" w:eastAsia="仿宋" w:hAnsi="仿宋" w:cs="仿宋" w:hint="eastAsia"/>
          <w:sz w:val="32"/>
          <w:szCs w:val="32"/>
        </w:rPr>
        <w:t>，即项目立项后拨付</w:t>
      </w:r>
      <w:r w:rsidRPr="00C236B7">
        <w:rPr>
          <w:rFonts w:ascii="仿宋" w:eastAsia="仿宋" w:hAnsi="仿宋" w:cs="仿宋"/>
          <w:sz w:val="32"/>
          <w:szCs w:val="32"/>
        </w:rPr>
        <w:t>6</w:t>
      </w:r>
      <w:r w:rsidRPr="00C236B7">
        <w:rPr>
          <w:rFonts w:ascii="仿宋" w:eastAsia="仿宋" w:hAnsi="仿宋" w:cs="仿宋" w:hint="eastAsia"/>
          <w:sz w:val="32"/>
          <w:szCs w:val="32"/>
        </w:rPr>
        <w:t>0%，提交研究报告后拨付</w:t>
      </w:r>
      <w:r w:rsidRPr="00C236B7">
        <w:rPr>
          <w:rFonts w:ascii="仿宋" w:eastAsia="仿宋" w:hAnsi="仿宋" w:cs="仿宋"/>
          <w:sz w:val="32"/>
          <w:szCs w:val="32"/>
        </w:rPr>
        <w:t>4</w:t>
      </w:r>
      <w:r w:rsidRPr="00C236B7">
        <w:rPr>
          <w:rFonts w:ascii="仿宋" w:eastAsia="仿宋" w:hAnsi="仿宋" w:cs="仿宋" w:hint="eastAsia"/>
          <w:sz w:val="32"/>
          <w:szCs w:val="32"/>
        </w:rPr>
        <w:t>0%；技术攻关类项目经费拨付节奏为3:4:3，即项目立项后拨付30%，中期验收通过后拨付40%，结项验收通过后拨付30%。项目负责人根据任务书确定的开支范围和标准,并按照浙江大学教育基金会的相关财务管理规定使用项目经费。</w:t>
      </w:r>
    </w:p>
    <w:p w14:paraId="1B1B3D91" w14:textId="77777777"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5. 项目实施。项目实施周期一般为1年。对技术攻关类项目，博智林在执行实施过程中进行监督、检查、评估和指导；项目负责人应及时向博智林提交季度报。对前沿探索类项目，项目负责人应每六个月向专家委员会及中心主任做一次汇报。各类项目应在项目周期内完成研究，并提交研究报告。</w:t>
      </w:r>
    </w:p>
    <w:p w14:paraId="7F1593ED" w14:textId="77777777"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项目执行至中期，涉及调整技术路线或主要研发内容调</w:t>
      </w:r>
      <w:r w:rsidRPr="00C236B7">
        <w:rPr>
          <w:rFonts w:ascii="仿宋" w:eastAsia="仿宋" w:hAnsi="仿宋" w:cs="仿宋" w:hint="eastAsia"/>
          <w:sz w:val="32"/>
          <w:szCs w:val="32"/>
        </w:rPr>
        <w:lastRenderedPageBreak/>
        <w:t>整的，由项目负责人与博智林进行协商。如就项目调整内容达成一致意见的，项目负责人应当按照变更后的项目实施，并及时报研究中心主任备案；如未就项目调整内容达成一致意见的，应由专家委员会研究表决是否终止项目，并将表决意见报研究中心主任备案。</w:t>
      </w:r>
    </w:p>
    <w:p w14:paraId="79D8EA66" w14:textId="77777777"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项目未在任务书规定期限内完成研究任务的，原则上允许有3个月过渡期，项目负责人需在过渡期内推进研发。过渡期满仍未完成研发任务的，博智林评估研发效果，若同意予以延长项目实施周期（延长不得超过</w:t>
      </w:r>
      <w:r w:rsidRPr="00C236B7">
        <w:rPr>
          <w:rFonts w:ascii="仿宋" w:eastAsia="仿宋" w:hAnsi="仿宋" w:cs="仿宋"/>
          <w:sz w:val="32"/>
          <w:szCs w:val="32"/>
        </w:rPr>
        <w:t>9</w:t>
      </w:r>
      <w:r w:rsidRPr="00C236B7">
        <w:rPr>
          <w:rFonts w:ascii="仿宋" w:eastAsia="仿宋" w:hAnsi="仿宋" w:cs="仿宋" w:hint="eastAsia"/>
          <w:sz w:val="32"/>
          <w:szCs w:val="32"/>
        </w:rPr>
        <w:t>个月）的，项目负责人应继续实施该项目，并及时报研究中心主任备案；若认为不能继续延长项目实施周期的，应由专家委员会研究表决是否终止项目，并将表决意见报研究中心主任备案。延期后项目周期超出研究中心有效建设期的，仍按照本备忘录规定的合作项目管理办法进行管理。</w:t>
      </w:r>
    </w:p>
    <w:p w14:paraId="11A53C46" w14:textId="77777777"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专家委员会根据上述规定终止相关项目时，项目负责人及时向博智林出具相关项目的完成进度证明资料，博智林经核实后向专家委员会提交项目完成进度报告（含剩余项目费用拨付方案，下同）。项目完成进度报告经专家委员会评定通过后报中心主任、副主任联合审批确认，浙江大学教育基金会按照审议确认的项目完成进度报告拨付剩余的项目经费（如有）。</w:t>
      </w:r>
    </w:p>
    <w:p w14:paraId="0B060E98" w14:textId="29AE94A1"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6.</w:t>
      </w:r>
      <w:r w:rsidRPr="00C236B7">
        <w:rPr>
          <w:rFonts w:ascii="仿宋" w:eastAsia="仿宋" w:hAnsi="仿宋" w:cs="仿宋"/>
          <w:sz w:val="32"/>
          <w:szCs w:val="32"/>
        </w:rPr>
        <w:t xml:space="preserve"> </w:t>
      </w:r>
      <w:r w:rsidRPr="00C236B7">
        <w:rPr>
          <w:rFonts w:ascii="仿宋" w:eastAsia="仿宋" w:hAnsi="仿宋" w:cs="仿宋" w:hint="eastAsia"/>
          <w:sz w:val="32"/>
          <w:szCs w:val="32"/>
        </w:rPr>
        <w:t>项目验收。在项目验收（含中期验收、结项验收）时，</w:t>
      </w:r>
      <w:r w:rsidRPr="00C236B7">
        <w:rPr>
          <w:rFonts w:ascii="仿宋" w:eastAsia="仿宋" w:hAnsi="仿宋" w:cs="仿宋" w:hint="eastAsia"/>
          <w:sz w:val="32"/>
          <w:szCs w:val="32"/>
        </w:rPr>
        <w:lastRenderedPageBreak/>
        <w:t>项目负责人应当向博智林提交任务书规定的相关成果文件、项目报告等资料，审核无误后由博智林提交秘书处，由秘书处召集专家委员会开展验收工作。专家委员会根据项目资料牵头组织项目验收，并将项目验收意见上报中心主任、副主任联合审批确认。</w:t>
      </w:r>
      <w:r w:rsidR="007F228B" w:rsidRPr="00B27BBF">
        <w:rPr>
          <w:rFonts w:ascii="仿宋" w:eastAsia="仿宋" w:hAnsi="仿宋" w:cs="仿宋" w:hint="eastAsia"/>
          <w:sz w:val="32"/>
          <w:szCs w:val="32"/>
        </w:rPr>
        <w:t>研究中心合作科研项目的成果、知识产权</w:t>
      </w:r>
      <w:r w:rsidR="007F228B" w:rsidRPr="00B27BBF">
        <w:rPr>
          <w:rFonts w:ascii="仿宋" w:eastAsia="仿宋" w:hAnsi="仿宋" w:cs="仿宋"/>
          <w:sz w:val="32"/>
          <w:szCs w:val="32"/>
        </w:rPr>
        <w:t>等归属</w:t>
      </w:r>
      <w:r w:rsidR="007F228B" w:rsidRPr="00B27BBF">
        <w:rPr>
          <w:rFonts w:ascii="仿宋" w:eastAsia="仿宋" w:hAnsi="仿宋" w:cs="仿宋" w:hint="eastAsia"/>
          <w:sz w:val="32"/>
          <w:szCs w:val="32"/>
        </w:rPr>
        <w:t>浙江大学所有，</w:t>
      </w:r>
      <w:r w:rsidR="007F228B" w:rsidRPr="00B27BBF">
        <w:rPr>
          <w:rFonts w:ascii="仿宋" w:eastAsia="仿宋" w:hAnsi="仿宋" w:cs="仿宋"/>
          <w:sz w:val="32"/>
          <w:szCs w:val="32"/>
        </w:rPr>
        <w:t>在同等条件</w:t>
      </w:r>
      <w:r w:rsidR="007F228B" w:rsidRPr="00B27BBF">
        <w:rPr>
          <w:rFonts w:ascii="仿宋" w:eastAsia="仿宋" w:hAnsi="仿宋" w:cs="仿宋" w:hint="eastAsia"/>
          <w:sz w:val="32"/>
          <w:szCs w:val="32"/>
        </w:rPr>
        <w:t>下，博智林</w:t>
      </w:r>
      <w:r w:rsidR="007F228B" w:rsidRPr="00B27BBF">
        <w:rPr>
          <w:rFonts w:ascii="仿宋" w:eastAsia="仿宋" w:hAnsi="仿宋" w:cs="仿宋"/>
          <w:sz w:val="32"/>
          <w:szCs w:val="32"/>
        </w:rPr>
        <w:t>拥有优先受让权</w:t>
      </w:r>
      <w:r w:rsidR="007F228B" w:rsidRPr="00B27BBF">
        <w:rPr>
          <w:rFonts w:ascii="仿宋" w:eastAsia="仿宋" w:hAnsi="仿宋" w:cs="仿宋" w:hint="eastAsia"/>
          <w:sz w:val="32"/>
          <w:szCs w:val="32"/>
        </w:rPr>
        <w:t>、优先排他实施许可权</w:t>
      </w:r>
      <w:r w:rsidRPr="00C236B7">
        <w:rPr>
          <w:rFonts w:ascii="仿宋" w:eastAsia="仿宋" w:hAnsi="仿宋" w:cs="仿宋" w:hint="eastAsia"/>
          <w:sz w:val="32"/>
          <w:szCs w:val="32"/>
        </w:rPr>
        <w:t>。</w:t>
      </w:r>
    </w:p>
    <w:p w14:paraId="094EDF16" w14:textId="77777777"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在研发过程中，需要与博智林共同研发的，可另行签订补充协议约定双方责任、义务及知识产权归属。</w:t>
      </w:r>
    </w:p>
    <w:p w14:paraId="5B13B20E" w14:textId="57BC78F2" w:rsidR="00C236B7" w:rsidRPr="00C236B7" w:rsidRDefault="00C236B7" w:rsidP="00C236B7">
      <w:pPr>
        <w:pStyle w:val="1"/>
        <w:ind w:left="720" w:firstLineChars="0" w:hanging="720"/>
        <w:textAlignment w:val="baseline"/>
        <w:rPr>
          <w:b/>
          <w:bCs/>
          <w:sz w:val="28"/>
          <w:szCs w:val="28"/>
        </w:rPr>
      </w:pPr>
      <w:r>
        <w:rPr>
          <w:rFonts w:hint="eastAsia"/>
          <w:b/>
          <w:bCs/>
          <w:sz w:val="28"/>
          <w:szCs w:val="28"/>
        </w:rPr>
        <w:t>四</w:t>
      </w:r>
      <w:r w:rsidRPr="00C236B7">
        <w:rPr>
          <w:rFonts w:hint="eastAsia"/>
          <w:b/>
          <w:bCs/>
          <w:sz w:val="28"/>
          <w:szCs w:val="28"/>
        </w:rPr>
        <w:t>、管理办法</w:t>
      </w:r>
      <w:r w:rsidRPr="00C236B7">
        <w:rPr>
          <w:b/>
          <w:bCs/>
          <w:sz w:val="28"/>
          <w:szCs w:val="28"/>
        </w:rPr>
        <w:t>的修改与解释</w:t>
      </w:r>
      <w:r w:rsidRPr="00C236B7">
        <w:rPr>
          <w:b/>
          <w:bCs/>
          <w:sz w:val="28"/>
          <w:szCs w:val="28"/>
        </w:rPr>
        <w:t xml:space="preserve"> </w:t>
      </w:r>
    </w:p>
    <w:p w14:paraId="1DA2AE03" w14:textId="5DE3532B"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1</w:t>
      </w:r>
      <w:r w:rsidRPr="00C236B7">
        <w:rPr>
          <w:rFonts w:ascii="仿宋" w:eastAsia="仿宋" w:hAnsi="仿宋" w:cs="仿宋"/>
          <w:sz w:val="32"/>
          <w:szCs w:val="32"/>
        </w:rPr>
        <w:t xml:space="preserve">. </w:t>
      </w:r>
      <w:r w:rsidRPr="00C236B7">
        <w:rPr>
          <w:rFonts w:ascii="仿宋" w:eastAsia="仿宋" w:hAnsi="仿宋" w:cs="仿宋" w:hint="eastAsia"/>
          <w:sz w:val="32"/>
          <w:szCs w:val="32"/>
        </w:rPr>
        <w:t xml:space="preserve">本管理办法的修改，须经研究中心秘书处提出，研究中心主任同意。 </w:t>
      </w:r>
    </w:p>
    <w:p w14:paraId="04FA644A" w14:textId="5C23BB9C" w:rsidR="00C236B7" w:rsidRPr="00C236B7" w:rsidRDefault="00C236B7" w:rsidP="00C236B7">
      <w:pPr>
        <w:ind w:firstLineChars="200" w:firstLine="640"/>
        <w:rPr>
          <w:rFonts w:ascii="仿宋" w:eastAsia="仿宋" w:hAnsi="仿宋" w:cs="仿宋"/>
          <w:sz w:val="32"/>
          <w:szCs w:val="32"/>
        </w:rPr>
      </w:pPr>
      <w:r w:rsidRPr="00C236B7">
        <w:rPr>
          <w:rFonts w:ascii="仿宋" w:eastAsia="仿宋" w:hAnsi="仿宋" w:cs="仿宋" w:hint="eastAsia"/>
          <w:sz w:val="32"/>
          <w:szCs w:val="32"/>
        </w:rPr>
        <w:t>2</w:t>
      </w:r>
      <w:r w:rsidRPr="00C236B7">
        <w:rPr>
          <w:rFonts w:ascii="仿宋" w:eastAsia="仿宋" w:hAnsi="仿宋" w:cs="仿宋"/>
          <w:sz w:val="32"/>
          <w:szCs w:val="32"/>
        </w:rPr>
        <w:t xml:space="preserve">. </w:t>
      </w:r>
      <w:r w:rsidRPr="00C236B7">
        <w:rPr>
          <w:rFonts w:ascii="仿宋" w:eastAsia="仿宋" w:hAnsi="仿宋" w:cs="仿宋" w:hint="eastAsia"/>
          <w:sz w:val="32"/>
          <w:szCs w:val="32"/>
        </w:rPr>
        <w:t>本管理办法的解释权属于研究中心。</w:t>
      </w:r>
    </w:p>
    <w:p w14:paraId="56C1923A" w14:textId="77777777" w:rsidR="00C236B7" w:rsidRPr="00C236B7" w:rsidRDefault="00C236B7" w:rsidP="00C236B7">
      <w:pPr>
        <w:rPr>
          <w:rFonts w:ascii="仿宋" w:eastAsia="仿宋" w:hAnsi="仿宋" w:cs="仿宋"/>
          <w:sz w:val="32"/>
          <w:szCs w:val="32"/>
        </w:rPr>
      </w:pPr>
    </w:p>
    <w:p w14:paraId="0F6A1DD6" w14:textId="77777777" w:rsidR="00AC737C" w:rsidRDefault="00AC737C"/>
    <w:p w14:paraId="75075076" w14:textId="77777777" w:rsidR="00AC737C" w:rsidRDefault="00AC737C"/>
    <w:p w14:paraId="34A6C823" w14:textId="5CD1D2F6" w:rsidR="00AC737C" w:rsidRDefault="00AC737C"/>
    <w:sectPr w:rsidR="00AC73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49E17" w14:textId="77777777" w:rsidR="004F18A3" w:rsidRDefault="004F18A3" w:rsidP="00AC737C">
      <w:r>
        <w:separator/>
      </w:r>
    </w:p>
  </w:endnote>
  <w:endnote w:type="continuationSeparator" w:id="0">
    <w:p w14:paraId="04F52A77" w14:textId="77777777" w:rsidR="004F18A3" w:rsidRDefault="004F18A3" w:rsidP="00AC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9195A" w14:textId="77777777" w:rsidR="004F18A3" w:rsidRDefault="004F18A3" w:rsidP="00AC737C">
      <w:r>
        <w:separator/>
      </w:r>
    </w:p>
  </w:footnote>
  <w:footnote w:type="continuationSeparator" w:id="0">
    <w:p w14:paraId="20DBB7ED" w14:textId="77777777" w:rsidR="004F18A3" w:rsidRDefault="004F18A3" w:rsidP="00AC73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7A3E0D"/>
    <w:multiLevelType w:val="multilevel"/>
    <w:tmpl w:val="7B7A3E0D"/>
    <w:lvl w:ilvl="0">
      <w:start w:val="1"/>
      <w:numFmt w:val="japaneseCounting"/>
      <w:lvlText w:val="第%1章"/>
      <w:lvlJc w:val="left"/>
      <w:pPr>
        <w:ind w:left="2002" w:hanging="144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9F5"/>
    <w:rsid w:val="00314DCD"/>
    <w:rsid w:val="004F18A3"/>
    <w:rsid w:val="006320A1"/>
    <w:rsid w:val="007F228B"/>
    <w:rsid w:val="00875C92"/>
    <w:rsid w:val="008F453F"/>
    <w:rsid w:val="009466F0"/>
    <w:rsid w:val="00AC737C"/>
    <w:rsid w:val="00B1531D"/>
    <w:rsid w:val="00B27BBF"/>
    <w:rsid w:val="00B90148"/>
    <w:rsid w:val="00C236B7"/>
    <w:rsid w:val="00DA4D0D"/>
    <w:rsid w:val="00E449F5"/>
    <w:rsid w:val="00FA0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39478"/>
  <w15:chartTrackingRefBased/>
  <w15:docId w15:val="{2903635D-616B-48F8-B96F-09DE0C58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3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C737C"/>
    <w:rPr>
      <w:sz w:val="18"/>
      <w:szCs w:val="18"/>
    </w:rPr>
  </w:style>
  <w:style w:type="paragraph" w:styleId="a5">
    <w:name w:val="footer"/>
    <w:basedOn w:val="a"/>
    <w:link w:val="a6"/>
    <w:uiPriority w:val="99"/>
    <w:unhideWhenUsed/>
    <w:rsid w:val="00AC737C"/>
    <w:pPr>
      <w:tabs>
        <w:tab w:val="center" w:pos="4153"/>
        <w:tab w:val="right" w:pos="8306"/>
      </w:tabs>
      <w:snapToGrid w:val="0"/>
      <w:jc w:val="left"/>
    </w:pPr>
    <w:rPr>
      <w:sz w:val="18"/>
      <w:szCs w:val="18"/>
    </w:rPr>
  </w:style>
  <w:style w:type="character" w:customStyle="1" w:styleId="a6">
    <w:name w:val="页脚 字符"/>
    <w:basedOn w:val="a0"/>
    <w:link w:val="a5"/>
    <w:uiPriority w:val="99"/>
    <w:rsid w:val="00AC737C"/>
    <w:rPr>
      <w:sz w:val="18"/>
      <w:szCs w:val="18"/>
    </w:rPr>
  </w:style>
  <w:style w:type="character" w:styleId="a7">
    <w:name w:val="annotation reference"/>
    <w:basedOn w:val="a0"/>
    <w:uiPriority w:val="99"/>
    <w:semiHidden/>
    <w:unhideWhenUsed/>
    <w:rsid w:val="00AC737C"/>
    <w:rPr>
      <w:sz w:val="21"/>
      <w:szCs w:val="21"/>
    </w:rPr>
  </w:style>
  <w:style w:type="paragraph" w:styleId="a8">
    <w:name w:val="annotation text"/>
    <w:basedOn w:val="a"/>
    <w:link w:val="a9"/>
    <w:uiPriority w:val="99"/>
    <w:semiHidden/>
    <w:unhideWhenUsed/>
    <w:rsid w:val="00AC737C"/>
    <w:pPr>
      <w:jc w:val="left"/>
    </w:pPr>
  </w:style>
  <w:style w:type="character" w:customStyle="1" w:styleId="a9">
    <w:name w:val="批注文字 字符"/>
    <w:basedOn w:val="a0"/>
    <w:link w:val="a8"/>
    <w:uiPriority w:val="99"/>
    <w:semiHidden/>
    <w:rsid w:val="00AC737C"/>
  </w:style>
  <w:style w:type="paragraph" w:styleId="aa">
    <w:name w:val="Balloon Text"/>
    <w:basedOn w:val="a"/>
    <w:link w:val="ab"/>
    <w:uiPriority w:val="99"/>
    <w:semiHidden/>
    <w:unhideWhenUsed/>
    <w:rsid w:val="00AC737C"/>
    <w:rPr>
      <w:sz w:val="18"/>
      <w:szCs w:val="18"/>
    </w:rPr>
  </w:style>
  <w:style w:type="character" w:customStyle="1" w:styleId="ab">
    <w:name w:val="批注框文本 字符"/>
    <w:basedOn w:val="a0"/>
    <w:link w:val="aa"/>
    <w:uiPriority w:val="99"/>
    <w:semiHidden/>
    <w:rsid w:val="00AC737C"/>
    <w:rPr>
      <w:sz w:val="18"/>
      <w:szCs w:val="18"/>
    </w:rPr>
  </w:style>
  <w:style w:type="paragraph" w:styleId="ac">
    <w:name w:val="List Paragraph"/>
    <w:basedOn w:val="a"/>
    <w:uiPriority w:val="34"/>
    <w:qFormat/>
    <w:rsid w:val="00AC737C"/>
    <w:pPr>
      <w:ind w:firstLineChars="200" w:firstLine="420"/>
    </w:pPr>
  </w:style>
  <w:style w:type="paragraph" w:customStyle="1" w:styleId="1">
    <w:name w:val="列出段落1"/>
    <w:basedOn w:val="a"/>
    <w:qFormat/>
    <w:rsid w:val="00C236B7"/>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李龙君</dc:creator>
  <cp:keywords/>
  <dc:description/>
  <cp:lastModifiedBy>OptiPlex 5080</cp:lastModifiedBy>
  <cp:revision>10</cp:revision>
  <dcterms:created xsi:type="dcterms:W3CDTF">2022-11-14T09:01:00Z</dcterms:created>
  <dcterms:modified xsi:type="dcterms:W3CDTF">2022-11-24T07:49:00Z</dcterms:modified>
</cp:coreProperties>
</file>