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9E57E">
      <w:pPr>
        <w:spacing w:line="7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浙江大学机械工程学院</w:t>
      </w:r>
    </w:p>
    <w:p w14:paraId="76928912">
      <w:pPr>
        <w:spacing w:line="7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关于加强研究生学位论文过程管理的实施细则(试行)</w:t>
      </w:r>
    </w:p>
    <w:p w14:paraId="556F9FA7">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第一章  总则</w:t>
      </w:r>
    </w:p>
    <w:p w14:paraId="7AC1B296">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研究生教育肩负着高层次人才培养和创新创造的重要使命，是国家发展、社会进步的重要基石。健全研究生培养单位内部质量管理机制，完善读书报告，中期考核（检查），及学位论文的开题、中期进展、预答辩（预审）等关键环节，加强研究生培养关键环节的质量监控和保证制度，落实全过程管理责任，以切实提升研究生培养质量。现根据《教育部 国家发展改革委 财政部关于加快新时代研究生教育改革发展的意见（教研〔2020〕9号）》《国务院学位委员会 教育部关于进一步严格规范学位与研究生教育质量管理的若干意见（学位〔2020〕19号）》《浙江大学研究生学位申请实施办法(试行)</w:t>
      </w:r>
      <w:r>
        <w:rPr>
          <w:rFonts w:hint="eastAsia" w:ascii="Times New Roman" w:hAnsi="Times New Roman" w:eastAsia="仿宋_GB2312" w:cs="Times New Roman"/>
          <w:color w:val="auto"/>
          <w:sz w:val="28"/>
          <w:szCs w:val="28"/>
          <w:lang w:eastAsia="zh-CN"/>
        </w:rPr>
        <w:t>（浙大发研〔2024〕53 号）</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浙江大学研究生中期考核实施办法（浙大研院发〔2024〕21 号）</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等文件精神，结合我院的实际情况，制定本实施细则。</w:t>
      </w:r>
    </w:p>
    <w:p w14:paraId="048228B1">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第二章  读书报告</w:t>
      </w:r>
    </w:p>
    <w:p w14:paraId="158FDA44">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读书报告是研究生的学术科研活动之一，通过读书报告可以提高研究生的学术水平，促进专业间的交流，增强口头表达能力，是研究生培养过程中不可缺少的环节，研究生在读期间需按培养方案要求完成相应数量的读书报告，具体要求如下：</w:t>
      </w:r>
    </w:p>
    <w:p w14:paraId="285C0EB8">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（1）博士研究生：</w:t>
      </w:r>
    </w:p>
    <w:p w14:paraId="7115DCD4">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要求每位博士研究生在学期间做读书（学术）报告或seminar 6次，其中至少公开在学科或学院的学术论坛做读书（学术）报告1-2次。读书（学术）报告考核通过计2学分。</w:t>
      </w:r>
    </w:p>
    <w:p w14:paraId="738633B2">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要求每位直接攻博生或者硕博连读生在学期间做读书（学术）报告或seminar 10次，其中至少公开在学科或学院的学术论坛做读书（学术）报告2次。读书（学术）报告考核通过计4学分。</w:t>
      </w:r>
    </w:p>
    <w:p w14:paraId="3D32A881">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（2）硕士研究生：</w:t>
      </w:r>
    </w:p>
    <w:p w14:paraId="4BB82577">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要求每位硕士研究生在学期间做读书（学术）报告或seminar 4次，其中至少公开在学科或学院的学术论坛做读书（学术）报告1-2次。读书（学术）报告考核通过计2学分。</w:t>
      </w:r>
    </w:p>
    <w:p w14:paraId="3DD5ABB9">
      <w:pPr>
        <w:spacing w:line="360" w:lineRule="auto"/>
        <w:ind w:firstLine="560"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color w:val="auto"/>
          <w:sz w:val="28"/>
          <w:szCs w:val="28"/>
        </w:rPr>
        <w:t>每位研究生应将《浙江大学研究生读书报告》上传至研究生教育管理信息系统，并以书面形式提交学院研究生科存档备案，提交时间以研究生科通知为准。</w:t>
      </w:r>
    </w:p>
    <w:p w14:paraId="40992DBD">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第三章  中期考核（检查）</w:t>
      </w:r>
    </w:p>
    <w:p w14:paraId="50773CA6">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中期考核是在研究生课程学习基本结束之后，对其入学以来政治思想表现、课程学习情况和科研工作能力等方面进行一次综合考核和评定。</w:t>
      </w:r>
    </w:p>
    <w:p w14:paraId="0D2368D2">
      <w:pPr>
        <w:spacing w:line="360" w:lineRule="auto"/>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一、博士研究生的中期考核：</w:t>
      </w:r>
    </w:p>
    <w:p w14:paraId="54A24B27">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普通博士研究生在入学后的第三个长学期进行中期考核，直接攻博研究生在入学后的第五个长学期进行中期考核，硕博连读研究生原则上在进入博士阶段一年后进行中期考核，根据博士入学时间的不同，其考核时间可适当提前，但不得早于其硕士入学同期的直博生。博士研究生中期考核在每年3月份和10月份左右进行。</w:t>
      </w:r>
    </w:p>
    <w:p w14:paraId="528BF0CB">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rPr>
        <w:t>原则上所有博士研究生必须在规定的时间内参加中期考核。博士研究生因特殊原因无法按期参加考核的，可提出延期考核申请，经导师和博士研究生中期考核领导小组审核同意并确定延期时长后，方可延期。每位博士研究生在其学制内原则上仅允许延期考核一次。未按期参加考核且未经审核同意延期考核的博士研究生，当次中期考核结果记不合格</w:t>
      </w:r>
      <w:r>
        <w:rPr>
          <w:rFonts w:hint="eastAsia" w:ascii="Times New Roman" w:hAnsi="Times New Roman" w:eastAsia="仿宋_GB2312" w:cs="Times New Roman"/>
          <w:color w:val="auto"/>
          <w:sz w:val="28"/>
          <w:szCs w:val="28"/>
          <w:lang w:eastAsia="zh-CN"/>
        </w:rPr>
        <w:t>。</w:t>
      </w:r>
    </w:p>
    <w:p w14:paraId="348C9579">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各研究所（系）成立多个中期考核专家小组。中期考核专家小组成员不少于5人，学术学位博士研究生考核专家应均为博士研究生指导教师，专业学位博士研究生考核专家中博士研究生指导教师不少于3人，且行（企）业专家不少于2人。中期考核专家小组负责参加中期考核的博士研究生的具体考核评价。中期考核专家小组成员原则上实行主导师回避制。</w:t>
      </w:r>
    </w:p>
    <w:p w14:paraId="51DC006B">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中期考核的等级分为：优秀、良好、合格、暂缓通过、不合格-博转硕、不合格-退学。“暂缓通过”为：“第一次考核不合格，但可以参加第二次考核”；“不合格-博转硕、不合格-退学”为：2种分流类型的选项。</w:t>
      </w:r>
    </w:p>
    <w:p w14:paraId="14C536C6">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分流的直博生毕业时间不早于中期考核后的第二年6月。</w:t>
      </w:r>
    </w:p>
    <w:p w14:paraId="0C8DC3BB">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博士</w:t>
      </w:r>
      <w:r>
        <w:rPr>
          <w:rFonts w:hint="eastAsia" w:ascii="Times New Roman" w:hAnsi="Times New Roman" w:eastAsia="仿宋_GB2312" w:cs="Times New Roman"/>
          <w:color w:val="auto"/>
          <w:sz w:val="28"/>
          <w:szCs w:val="28"/>
        </w:rPr>
        <w:t>研究生的</w:t>
      </w:r>
      <w:r>
        <w:rPr>
          <w:rFonts w:hint="eastAsia" w:ascii="Times New Roman" w:hAnsi="Times New Roman" w:eastAsia="仿宋_GB2312" w:cs="Times New Roman"/>
          <w:color w:val="auto"/>
          <w:sz w:val="28"/>
          <w:szCs w:val="28"/>
          <w:lang w:val="en-US" w:eastAsia="zh-CN"/>
        </w:rPr>
        <w:t>中期考核</w:t>
      </w:r>
      <w:r>
        <w:rPr>
          <w:rFonts w:hint="eastAsia" w:ascii="Times New Roman" w:hAnsi="Times New Roman" w:eastAsia="仿宋_GB2312" w:cs="Times New Roman"/>
          <w:color w:val="auto"/>
          <w:sz w:val="28"/>
          <w:szCs w:val="28"/>
        </w:rPr>
        <w:t>相关规定按《浙江大学机械工程学院博士研究生中期考核实施办法（2024年10月修订)》执行</w:t>
      </w:r>
      <w:r>
        <w:rPr>
          <w:rFonts w:hint="eastAsia" w:ascii="Times New Roman" w:hAnsi="Times New Roman" w:eastAsia="仿宋_GB2312" w:cs="Times New Roman"/>
          <w:color w:val="auto"/>
          <w:sz w:val="28"/>
          <w:szCs w:val="28"/>
          <w:lang w:eastAsia="zh-CN"/>
        </w:rPr>
        <w:t>。</w:t>
      </w:r>
    </w:p>
    <w:p w14:paraId="3122FCFC">
      <w:pPr>
        <w:spacing w:line="360" w:lineRule="auto"/>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二、硕士研究生的中期考核（检查）：</w:t>
      </w:r>
    </w:p>
    <w:p w14:paraId="099C495F">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硕士研究生在第一学年结束后完成进行中期考核（检查），对课程学习与读书报告完成情况、学位论文的开题情况、科研成果等方面进行中期考核（检查）。硕士研究生中期考核（检查）在每年11月份进行。</w:t>
      </w:r>
    </w:p>
    <w:p w14:paraId="66F880E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各研究所成立中期考核小组，考核小组由3人（具有硕士生招生资格的导师）以上的专家组成，负责本研究所的中期考核工作。各研究所根据各所实际情况可以按专业或研究方向或项目组对硕士生进行中期考核。</w:t>
      </w:r>
    </w:p>
    <w:p w14:paraId="0AF0CD78">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中期考核的等级分为：优秀、良好、合格、暂缓通过、不合格-退学。“暂缓通过”为：“第一次考核不合格，但可以参加第二次考核”；“不合格-退学”为分流类型的选项。</w:t>
      </w:r>
    </w:p>
    <w:p w14:paraId="12ACBB80">
      <w:pPr>
        <w:spacing w:line="360" w:lineRule="auto"/>
        <w:ind w:firstLine="560"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color w:val="auto"/>
          <w:sz w:val="28"/>
          <w:szCs w:val="28"/>
        </w:rPr>
        <w:t>中期考核（检查）通过后，每位研究生应在研究生教育管理信息系统录入中期考核信息，上传个人小结，下载《浙江大学研究生中期考核表》，并和个人小结一起交由各研究所秘书收齐后提交学院研究生科存档备案，提交时间以研究生科通知为准。</w:t>
      </w:r>
    </w:p>
    <w:p w14:paraId="0700BA80">
      <w:pPr>
        <w:pStyle w:val="4"/>
        <w:widowControl w:val="0"/>
        <w:numPr>
          <w:ilvl w:val="0"/>
          <w:numId w:val="1"/>
        </w:numPr>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 xml:space="preserve"> 学位论文开题报告</w:t>
      </w:r>
    </w:p>
    <w:p w14:paraId="7B5738BC">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开题报告是研究生学位论文工作的重要环节，是保证学位论文进度和质量的前提。开题报告应遵循以下要求： </w:t>
      </w:r>
    </w:p>
    <w:p w14:paraId="2DC8FE04">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（1）研究生必须进行开题报告。 </w:t>
      </w:r>
    </w:p>
    <w:p w14:paraId="264A6F8D">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研究生应就学位论文选题意义、国内外研究综述、主要研究内容和研究方案等作出论证，撰写《浙江大学研究生学位论文开题报告》，并在所属学术学位学科或专业学位类别/领域范围内公开报告，由以研究生导师及导师团队成员为主体组成的考核小组（至少 3 名）评审，其中博士研究生开题需3名及以上具有博士研究生招生资格的教师组成，组长需由正高职称的教师担任，硕士研究生开题需3名及以上的具有硕士研究生招生资格的教师组成，组长需由副高职称及以上的教师担任。</w:t>
      </w:r>
      <w:r>
        <w:rPr>
          <w:rFonts w:hint="eastAsia" w:ascii="Times New Roman" w:hAnsi="Times New Roman" w:eastAsia="仿宋_GB2312" w:cs="Times New Roman"/>
          <w:color w:val="auto"/>
          <w:sz w:val="28"/>
          <w:szCs w:val="28"/>
          <w:lang w:val="en-US" w:eastAsia="zh-CN"/>
        </w:rPr>
        <w:t>专业学位研究生开题考核小组应至少包含1名</w:t>
      </w:r>
      <w:r>
        <w:rPr>
          <w:rFonts w:hint="eastAsia" w:ascii="Times New Roman" w:hAnsi="Times New Roman" w:eastAsia="仿宋_GB2312" w:cs="Times New Roman"/>
          <w:color w:val="auto"/>
          <w:sz w:val="28"/>
          <w:szCs w:val="28"/>
        </w:rPr>
        <w:t>行（企）业专家</w:t>
      </w:r>
      <w:r>
        <w:rPr>
          <w:rFonts w:hint="eastAsia"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rPr>
        <w:t>经评审通过的《浙江大学研究生学位论文开题报告》，应上传至研究生教育管理信息系统，并以书面形式提交学院研究生科存档备案，在中期考核（检查）时一起提交，时间为每年的3月份和11月份。</w:t>
      </w:r>
    </w:p>
    <w:p w14:paraId="2B47B9B2">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（3）开题报告未获通过者，应尽快修改完善开题报告，经导师确认同意后重新进行开题报告。</w:t>
      </w:r>
    </w:p>
    <w:p w14:paraId="11B0256D">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（4）开题报告通过者，经导师确认需变更学位论文课题研究者，应重新进行开题报告。 </w:t>
      </w:r>
    </w:p>
    <w:p w14:paraId="341ECA5D">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（5）普通博士研究生应于入学后 1.5学年内完成学位论文开题报告，直接攻博生应于入学后2.5学年内完成学位论文开题报告，硕博连读生应于转博后的 1学年内完成学位论文开题报告， 硕士研究生应于入学后 1.5学年内完成学位论文开题报告。对未按时开题的研究生，学科（研究所）要主动跟进、分析原因，督促导师指导研究生进行开题报告。 </w:t>
      </w:r>
    </w:p>
    <w:p w14:paraId="63088008">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（6）博士研究生完成开题报告后，至少间隔 12 个月后，方能申请学位论文答辩；硕士研究生完成开题报告后，至少间隔 6 个月后，方能申请学位论文答辩。</w:t>
      </w:r>
    </w:p>
    <w:p w14:paraId="222627C3">
      <w:pPr>
        <w:pStyle w:val="4"/>
        <w:widowControl w:val="0"/>
        <w:spacing w:before="0" w:beforeAutospacing="0" w:after="0" w:afterAutospacing="0" w:line="360"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（7）研究生开题报告需经学科点学位论文质量审核小组审核通过。</w:t>
      </w:r>
    </w:p>
    <w:p w14:paraId="76B5164A">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第五章  学位论文中期进展报告</w:t>
      </w:r>
    </w:p>
    <w:p w14:paraId="1C5853C4">
      <w:pPr>
        <w:pStyle w:val="4"/>
        <w:widowControl w:val="0"/>
        <w:spacing w:before="0" w:beforeAutospacing="0" w:after="0" w:afterAutospacing="0"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学位论文中期进展报告是导师全面了解研究生学位论文课题进展情况，督促研究生按计划开展研究工作，及时发现课题研究中存在的问题，采取补救措施或调整研究路线的重要环节。</w:t>
      </w:r>
    </w:p>
    <w:p w14:paraId="2517030A">
      <w:pPr>
        <w:pStyle w:val="4"/>
        <w:widowControl w:val="0"/>
        <w:spacing w:before="0" w:beforeAutospacing="0" w:after="0" w:afterAutospacing="0"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研究生在完成学位论文开题报告后的一年内应完成学位论文中期进展考核。</w:t>
      </w:r>
    </w:p>
    <w:p w14:paraId="65C7343B">
      <w:pPr>
        <w:pStyle w:val="4"/>
        <w:widowControl w:val="0"/>
        <w:spacing w:before="0" w:beforeAutospacing="0" w:after="0" w:afterAutospacing="0"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博士研究生应撰写《浙江大学研究生学位论文中期进展报告》，并公开进行学位论文中期进展报告，由以研究生导师及导师团队成员为主体组成的考核小组（至少 3 名）评审。通过中期进展报告的研究生应登录研究生教育管理信息系统填写完成“浙江大学研究生学位论文中期进展报告信息表”，经导师、院系审核，下载并由导师签字确认后，以书面形式提交学院（系）存档备案。考核未通过的博士研究生，至少需间隔三个月方能再次进行考核。</w:t>
      </w:r>
    </w:p>
    <w:p w14:paraId="7017C3C9">
      <w:pPr>
        <w:pStyle w:val="4"/>
        <w:widowControl w:val="0"/>
        <w:spacing w:before="0" w:beforeAutospacing="0" w:after="0" w:afterAutospacing="0"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硕士研究生的学位论文中期进展报告相关规定按《机械工程学院硕士研究生学位论文中期进展考核办法》（2021年7月修订）执行。</w:t>
      </w:r>
    </w:p>
    <w:p w14:paraId="3064466A">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第六章  学位论文预审/预答辩</w:t>
      </w:r>
    </w:p>
    <w:p w14:paraId="558320DC">
      <w:pPr>
        <w:spacing w:line="360" w:lineRule="auto"/>
        <w:ind w:firstLine="560" w:firstLineChars="200"/>
        <w:rPr>
          <w:rFonts w:ascii="微软雅黑" w:hAnsi="微软雅黑" w:eastAsia="微软雅黑" w:cs="微软雅黑"/>
          <w:color w:val="auto"/>
          <w:sz w:val="19"/>
          <w:szCs w:val="19"/>
          <w:shd w:val="clear" w:color="auto" w:fill="FFFFFF"/>
        </w:rPr>
      </w:pPr>
      <w:r>
        <w:rPr>
          <w:rFonts w:hint="eastAsia" w:ascii="Times New Roman" w:hAnsi="Times New Roman" w:eastAsia="仿宋_GB2312" w:cs="Times New Roman"/>
          <w:color w:val="auto"/>
          <w:sz w:val="28"/>
          <w:szCs w:val="28"/>
        </w:rPr>
        <w:t>博士研究生在申请学位论文评阅前，应通过学位论文预答辩。硕士研究生在申请学位论文评阅前，应通过学位论文预审/预答辩。预审/预答辩的相关规定按《</w:t>
      </w:r>
      <w:r>
        <w:rPr>
          <w:color w:val="auto"/>
        </w:rPr>
        <w:fldChar w:fldCharType="begin"/>
      </w:r>
      <w:r>
        <w:rPr>
          <w:color w:val="auto"/>
        </w:rPr>
        <w:instrText xml:space="preserve"> HYPERLINK "http://me.zju.edu.cn/meoffice/2021/0113/c6445a2243751/page.htm" \t "http://me.zju.edu.cn/meoffice/6445/_blank" \o "浙江大学机械工程学院博士研究生学位论文预答辩工作暂行规定（2021年1月1日起执行）" </w:instrText>
      </w:r>
      <w:r>
        <w:rPr>
          <w:color w:val="auto"/>
        </w:rPr>
        <w:fldChar w:fldCharType="separate"/>
      </w:r>
      <w:r>
        <w:rPr>
          <w:rFonts w:hint="eastAsia" w:ascii="Times New Roman" w:hAnsi="Times New Roman" w:eastAsia="仿宋_GB2312" w:cs="Times New Roman"/>
          <w:color w:val="auto"/>
          <w:sz w:val="28"/>
          <w:szCs w:val="28"/>
        </w:rPr>
        <w:t>浙江大学机械工程学院研究生博士学位论文或实践成果预答辩工作暂行规定（2021年1月修订）</w:t>
      </w:r>
      <w:r>
        <w:rPr>
          <w:rFonts w:hint="eastAsia" w:ascii="Times New Roman" w:hAnsi="Times New Roman" w:eastAsia="仿宋_GB2312" w:cs="Times New Roman"/>
          <w:color w:val="auto"/>
          <w:sz w:val="28"/>
          <w:szCs w:val="28"/>
        </w:rPr>
        <w:fldChar w:fldCharType="end"/>
      </w:r>
      <w:r>
        <w:rPr>
          <w:rFonts w:hint="eastAsia" w:ascii="Times New Roman" w:hAnsi="Times New Roman" w:eastAsia="仿宋_GB2312" w:cs="Times New Roman"/>
          <w:color w:val="auto"/>
          <w:sz w:val="28"/>
          <w:szCs w:val="28"/>
        </w:rPr>
        <w:t>》《</w:t>
      </w:r>
      <w:r>
        <w:rPr>
          <w:color w:val="auto"/>
        </w:rPr>
        <w:fldChar w:fldCharType="begin"/>
      </w:r>
      <w:r>
        <w:rPr>
          <w:color w:val="auto"/>
        </w:rPr>
        <w:instrText xml:space="preserve"> HYPERLINK "http://me.zju.edu.cn/meoffice/2021/0113/c6445a2243755/page.htm" \t "http://me.zju.edu.cn/meoffice/6445/_blank" \o "浙江大学机械工程学院硕士研究生学位论文预审工作暂行规定（2021年1月1日期执行）" </w:instrText>
      </w:r>
      <w:r>
        <w:rPr>
          <w:color w:val="auto"/>
        </w:rPr>
        <w:fldChar w:fldCharType="separate"/>
      </w:r>
      <w:r>
        <w:rPr>
          <w:rFonts w:hint="eastAsia" w:ascii="Times New Roman" w:hAnsi="Times New Roman" w:eastAsia="仿宋_GB2312" w:cs="Times New Roman"/>
          <w:color w:val="auto"/>
          <w:sz w:val="28"/>
          <w:szCs w:val="28"/>
        </w:rPr>
        <w:t>浙江大学机械工程学院硕士研究生学位论文预审工作暂行规定（2021年1月修订）</w:t>
      </w:r>
      <w:r>
        <w:rPr>
          <w:rFonts w:hint="eastAsia" w:ascii="Times New Roman" w:hAnsi="Times New Roman" w:eastAsia="仿宋_GB2312" w:cs="Times New Roman"/>
          <w:color w:val="auto"/>
          <w:sz w:val="28"/>
          <w:szCs w:val="28"/>
        </w:rPr>
        <w:fldChar w:fldCharType="end"/>
      </w:r>
      <w:r>
        <w:rPr>
          <w:rFonts w:hint="eastAsia" w:ascii="Times New Roman" w:hAnsi="Times New Roman" w:eastAsia="仿宋_GB2312" w:cs="Times New Roman"/>
          <w:color w:val="auto"/>
          <w:sz w:val="28"/>
          <w:szCs w:val="28"/>
        </w:rPr>
        <w:t>》执行。</w:t>
      </w:r>
    </w:p>
    <w:p w14:paraId="2922BB9B">
      <w:pPr>
        <w:pStyle w:val="4"/>
        <w:widowControl w:val="0"/>
        <w:spacing w:before="0" w:beforeAutospacing="0" w:after="0" w:afterAutospacing="0" w:line="360" w:lineRule="auto"/>
        <w:ind w:firstLine="562" w:firstLineChars="200"/>
        <w:jc w:val="center"/>
        <w:rPr>
          <w:rFonts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七</w:t>
      </w:r>
      <w:r>
        <w:rPr>
          <w:rFonts w:hint="eastAsia" w:ascii="仿宋_GB2312" w:hAnsi="仿宋_GB2312" w:eastAsia="仿宋_GB2312" w:cs="仿宋_GB2312"/>
          <w:b/>
          <w:bCs/>
          <w:color w:val="auto"/>
          <w:kern w:val="2"/>
          <w:sz w:val="28"/>
          <w:szCs w:val="28"/>
        </w:rPr>
        <w:t>章  其他</w:t>
      </w:r>
    </w:p>
    <w:p w14:paraId="384E4620">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实施细则适用于机械工程学院所有研究生的读书报告，中期考核（检查），以及学位论文开题报告、中期进展报告与预审/预答辩等工作。涉密学位论文按照学校相关规定执行。以同等学力申请学位者、符合毕业要求的已结业研究生的学位论文开题报告、中期进展报告、预答辩等工作按本办法执行。</w:t>
      </w:r>
    </w:p>
    <w:p w14:paraId="1C8B7146">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研究生学位申请过程中形成的读书报告，中期考核（检查），开题报告、中期进展报告、预答辩等材料是记录和证明研究生培养过程和获取相应学位的重要档案材料，研究生须做好相关材料的系统上传与纸质材料的提交，以便学院研究生科做好研究生培养过程与学位论文申请材料的归档工作。</w:t>
      </w:r>
    </w:p>
    <w:p w14:paraId="477E9AE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本实施细则自发布之日起实施，其他有关规定与本实施细则不一致的，以本实施细则为准。</w:t>
      </w:r>
    </w:p>
    <w:p w14:paraId="2547CB62">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本实施细则由机械工程学院负责解释。</w:t>
      </w:r>
    </w:p>
    <w:p w14:paraId="3955C155">
      <w:pPr>
        <w:spacing w:line="360" w:lineRule="auto"/>
        <w:ind w:firstLine="560" w:firstLineChars="200"/>
        <w:rPr>
          <w:rFonts w:hint="eastAsia" w:ascii="Times New Roman" w:hAnsi="Times New Roman" w:eastAsia="仿宋_GB2312" w:cs="Times New Roman"/>
          <w:color w:val="auto"/>
          <w:sz w:val="28"/>
          <w:szCs w:val="28"/>
        </w:rPr>
      </w:pPr>
    </w:p>
    <w:p w14:paraId="09069C3E">
      <w:pPr>
        <w:wordWrap w:val="0"/>
        <w:spacing w:line="360" w:lineRule="auto"/>
        <w:ind w:firstLine="560" w:firstLineChars="200"/>
        <w:jc w:val="righ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 xml:space="preserve">机械工程学院 </w:t>
      </w:r>
    </w:p>
    <w:p w14:paraId="4359DAFD">
      <w:pPr>
        <w:spacing w:line="360" w:lineRule="auto"/>
        <w:ind w:firstLine="440" w:firstLineChars="200"/>
        <w:jc w:val="center"/>
        <w:rPr>
          <w:rFonts w:ascii="Times New Roman" w:hAnsi="Times New Roman" w:eastAsia="仿宋_GB2312" w:cs="Times New Roman"/>
          <w:color w:val="auto"/>
          <w:sz w:val="28"/>
          <w:szCs w:val="28"/>
        </w:rPr>
      </w:pPr>
      <w:r>
        <w:rPr>
          <w:rFonts w:hint="eastAsia"/>
          <w:color w:val="auto"/>
          <w:sz w:val="22"/>
          <w:szCs w:val="24"/>
        </w:rPr>
        <w:t xml:space="preserve">              </w:t>
      </w:r>
      <w:r>
        <w:rPr>
          <w:rFonts w:hint="eastAsia"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rPr>
        <w:t>年</w:t>
      </w:r>
      <w:bookmarkStart w:id="0" w:name="_GoBack"/>
      <w:bookmarkEnd w:id="0"/>
      <w:r>
        <w:rPr>
          <w:rFonts w:hint="eastAsia" w:ascii="Times New Roman" w:hAnsi="Times New Roman" w:eastAsia="仿宋_GB2312" w:cs="Times New Roman"/>
          <w:color w:val="auto"/>
          <w:sz w:val="28"/>
          <w:szCs w:val="28"/>
          <w:lang w:val="en-US" w:eastAsia="zh-CN"/>
        </w:rPr>
        <w:t>6</w:t>
      </w:r>
      <w:r>
        <w:rPr>
          <w:rFonts w:hint="eastAsia" w:ascii="Times New Roman" w:hAnsi="Times New Roman" w:eastAsia="仿宋_GB2312" w:cs="Times New Roman"/>
          <w:color w:val="auto"/>
          <w:sz w:val="28"/>
          <w:szCs w:val="28"/>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096631"/>
    </w:sdtPr>
    <w:sdtContent>
      <w:sdt>
        <w:sdtPr>
          <w:id w:val="1728636285"/>
        </w:sdtPr>
        <w:sdtContent>
          <w:p w14:paraId="2E65A4F0">
            <w:pPr>
              <w:pStyle w:val="6"/>
              <w:jc w:val="center"/>
            </w:pPr>
            <w:r>
              <w:rPr>
                <w:rFonts w:ascii="仿宋" w:hAnsi="仿宋" w:eastAsia="仿宋"/>
                <w:lang w:val="zh-CN"/>
              </w:rPr>
              <w:t xml:space="preserve"> </w:t>
            </w:r>
            <w:r>
              <w:rPr>
                <w:rFonts w:ascii="仿宋" w:hAnsi="仿宋" w:eastAsia="仿宋"/>
                <w:b/>
                <w:bCs/>
                <w:sz w:val="24"/>
                <w:szCs w:val="24"/>
              </w:rPr>
              <w:fldChar w:fldCharType="begin"/>
            </w:r>
            <w:r>
              <w:rPr>
                <w:rFonts w:ascii="仿宋" w:hAnsi="仿宋" w:eastAsia="仿宋"/>
                <w:b/>
                <w:bCs/>
              </w:rPr>
              <w:instrText xml:space="preserve">PAGE</w:instrText>
            </w:r>
            <w:r>
              <w:rPr>
                <w:rFonts w:ascii="仿宋" w:hAnsi="仿宋" w:eastAsia="仿宋"/>
                <w:b/>
                <w:bCs/>
                <w:sz w:val="24"/>
                <w:szCs w:val="24"/>
              </w:rPr>
              <w:fldChar w:fldCharType="separate"/>
            </w:r>
            <w:r>
              <w:rPr>
                <w:rFonts w:ascii="仿宋" w:hAnsi="仿宋" w:eastAsia="仿宋"/>
                <w:b/>
                <w:bCs/>
              </w:rPr>
              <w:t>2</w:t>
            </w:r>
            <w:r>
              <w:rPr>
                <w:rFonts w:ascii="仿宋" w:hAnsi="仿宋" w:eastAsia="仿宋"/>
                <w:b/>
                <w:bCs/>
                <w:sz w:val="24"/>
                <w:szCs w:val="24"/>
              </w:rPr>
              <w:fldChar w:fldCharType="end"/>
            </w:r>
            <w:r>
              <w:rPr>
                <w:rFonts w:ascii="仿宋" w:hAnsi="仿宋" w:eastAsia="仿宋"/>
                <w:lang w:val="zh-CN"/>
              </w:rPr>
              <w:t xml:space="preserve"> / </w:t>
            </w:r>
            <w:r>
              <w:rPr>
                <w:rFonts w:ascii="仿宋" w:hAnsi="仿宋" w:eastAsia="仿宋"/>
                <w:b/>
                <w:bCs/>
                <w:sz w:val="24"/>
                <w:szCs w:val="24"/>
              </w:rPr>
              <w:fldChar w:fldCharType="begin"/>
            </w:r>
            <w:r>
              <w:rPr>
                <w:rFonts w:ascii="仿宋" w:hAnsi="仿宋" w:eastAsia="仿宋"/>
                <w:b/>
                <w:bCs/>
              </w:rPr>
              <w:instrText xml:space="preserve">NUMPAGES</w:instrText>
            </w:r>
            <w:r>
              <w:rPr>
                <w:rFonts w:ascii="仿宋" w:hAnsi="仿宋" w:eastAsia="仿宋"/>
                <w:b/>
                <w:bCs/>
                <w:sz w:val="24"/>
                <w:szCs w:val="24"/>
              </w:rPr>
              <w:fldChar w:fldCharType="separate"/>
            </w:r>
            <w:r>
              <w:rPr>
                <w:rFonts w:ascii="仿宋" w:hAnsi="仿宋" w:eastAsia="仿宋"/>
                <w:b/>
                <w:bCs/>
              </w:rPr>
              <w:t>7</w:t>
            </w:r>
            <w:r>
              <w:rPr>
                <w:rFonts w:ascii="仿宋" w:hAnsi="仿宋" w:eastAsia="仿宋"/>
                <w:b/>
                <w:bCs/>
                <w:sz w:val="24"/>
                <w:szCs w:val="24"/>
              </w:rPr>
              <w:fldChar w:fldCharType="end"/>
            </w:r>
          </w:p>
        </w:sdtContent>
      </w:sdt>
    </w:sdtContent>
  </w:sdt>
  <w:p w14:paraId="645EBE5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F6318"/>
    <w:multiLevelType w:val="singleLevel"/>
    <w:tmpl w:val="6B7F6318"/>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TYzZTc3NThmZDU5MDM4N2Q2ZTE3OTE2OTVkODgifQ=="/>
  </w:docVars>
  <w:rsids>
    <w:rsidRoot w:val="00B97194"/>
    <w:rsid w:val="00000B1A"/>
    <w:rsid w:val="00007A64"/>
    <w:rsid w:val="00012F81"/>
    <w:rsid w:val="0001387F"/>
    <w:rsid w:val="000260D3"/>
    <w:rsid w:val="00036DA5"/>
    <w:rsid w:val="00036F20"/>
    <w:rsid w:val="00040A44"/>
    <w:rsid w:val="00070524"/>
    <w:rsid w:val="00071997"/>
    <w:rsid w:val="00072155"/>
    <w:rsid w:val="00074309"/>
    <w:rsid w:val="00074ABB"/>
    <w:rsid w:val="000753F3"/>
    <w:rsid w:val="000A2239"/>
    <w:rsid w:val="000A60F1"/>
    <w:rsid w:val="000B7293"/>
    <w:rsid w:val="000B7DDD"/>
    <w:rsid w:val="000E4C94"/>
    <w:rsid w:val="001009F4"/>
    <w:rsid w:val="00107206"/>
    <w:rsid w:val="0011682C"/>
    <w:rsid w:val="0013224D"/>
    <w:rsid w:val="00136B38"/>
    <w:rsid w:val="00150BB1"/>
    <w:rsid w:val="00152EDD"/>
    <w:rsid w:val="00193F3E"/>
    <w:rsid w:val="0019584F"/>
    <w:rsid w:val="0019601C"/>
    <w:rsid w:val="001A05D9"/>
    <w:rsid w:val="001A17FF"/>
    <w:rsid w:val="001A50C8"/>
    <w:rsid w:val="001A5551"/>
    <w:rsid w:val="001B2C81"/>
    <w:rsid w:val="001B7C0E"/>
    <w:rsid w:val="001C29FE"/>
    <w:rsid w:val="001D28C3"/>
    <w:rsid w:val="001E053F"/>
    <w:rsid w:val="001F24CD"/>
    <w:rsid w:val="001F7B90"/>
    <w:rsid w:val="00206151"/>
    <w:rsid w:val="002212D3"/>
    <w:rsid w:val="00230875"/>
    <w:rsid w:val="0023466D"/>
    <w:rsid w:val="00243B81"/>
    <w:rsid w:val="002464B2"/>
    <w:rsid w:val="00250E04"/>
    <w:rsid w:val="00252E73"/>
    <w:rsid w:val="00253842"/>
    <w:rsid w:val="0027113A"/>
    <w:rsid w:val="00273C1A"/>
    <w:rsid w:val="00291A0B"/>
    <w:rsid w:val="002B3CBF"/>
    <w:rsid w:val="002B7D98"/>
    <w:rsid w:val="002E1BFC"/>
    <w:rsid w:val="002F480E"/>
    <w:rsid w:val="002F7B1E"/>
    <w:rsid w:val="0030156C"/>
    <w:rsid w:val="00301D46"/>
    <w:rsid w:val="00312125"/>
    <w:rsid w:val="00313E1C"/>
    <w:rsid w:val="00321C67"/>
    <w:rsid w:val="00324DA5"/>
    <w:rsid w:val="003462CF"/>
    <w:rsid w:val="003476F6"/>
    <w:rsid w:val="00352BF3"/>
    <w:rsid w:val="00383499"/>
    <w:rsid w:val="00395FC0"/>
    <w:rsid w:val="003B1A70"/>
    <w:rsid w:val="003B2671"/>
    <w:rsid w:val="003D5C81"/>
    <w:rsid w:val="003D654A"/>
    <w:rsid w:val="003E6D01"/>
    <w:rsid w:val="003F3F5F"/>
    <w:rsid w:val="0040608B"/>
    <w:rsid w:val="00414E07"/>
    <w:rsid w:val="0041663B"/>
    <w:rsid w:val="004167D1"/>
    <w:rsid w:val="0042548E"/>
    <w:rsid w:val="00436860"/>
    <w:rsid w:val="00440B0A"/>
    <w:rsid w:val="00444008"/>
    <w:rsid w:val="0045048F"/>
    <w:rsid w:val="004513F8"/>
    <w:rsid w:val="004814D9"/>
    <w:rsid w:val="00486515"/>
    <w:rsid w:val="004C37EC"/>
    <w:rsid w:val="004D2714"/>
    <w:rsid w:val="004D4A3B"/>
    <w:rsid w:val="004E74E7"/>
    <w:rsid w:val="004F39CB"/>
    <w:rsid w:val="005073EC"/>
    <w:rsid w:val="00511F21"/>
    <w:rsid w:val="00516186"/>
    <w:rsid w:val="00521DE2"/>
    <w:rsid w:val="00532E72"/>
    <w:rsid w:val="00532F85"/>
    <w:rsid w:val="00546CD9"/>
    <w:rsid w:val="0055284D"/>
    <w:rsid w:val="00597932"/>
    <w:rsid w:val="005A18C1"/>
    <w:rsid w:val="005B3C82"/>
    <w:rsid w:val="005B545B"/>
    <w:rsid w:val="005B5A47"/>
    <w:rsid w:val="005C057B"/>
    <w:rsid w:val="005C18F7"/>
    <w:rsid w:val="005E3B59"/>
    <w:rsid w:val="005F2AE5"/>
    <w:rsid w:val="00602C9B"/>
    <w:rsid w:val="00615603"/>
    <w:rsid w:val="00617C4D"/>
    <w:rsid w:val="00621603"/>
    <w:rsid w:val="006321B3"/>
    <w:rsid w:val="00642C8A"/>
    <w:rsid w:val="00645ED1"/>
    <w:rsid w:val="00653CD5"/>
    <w:rsid w:val="00661437"/>
    <w:rsid w:val="00662858"/>
    <w:rsid w:val="00684C0B"/>
    <w:rsid w:val="00691332"/>
    <w:rsid w:val="0069206B"/>
    <w:rsid w:val="00692E75"/>
    <w:rsid w:val="00693766"/>
    <w:rsid w:val="006940A9"/>
    <w:rsid w:val="006A6F49"/>
    <w:rsid w:val="006C2BE1"/>
    <w:rsid w:val="006C4456"/>
    <w:rsid w:val="006E0652"/>
    <w:rsid w:val="006E328E"/>
    <w:rsid w:val="006E7102"/>
    <w:rsid w:val="006E7926"/>
    <w:rsid w:val="007272B4"/>
    <w:rsid w:val="0073475E"/>
    <w:rsid w:val="00743B2E"/>
    <w:rsid w:val="00746728"/>
    <w:rsid w:val="00757972"/>
    <w:rsid w:val="00760554"/>
    <w:rsid w:val="00771C23"/>
    <w:rsid w:val="007735EC"/>
    <w:rsid w:val="00774987"/>
    <w:rsid w:val="00783A03"/>
    <w:rsid w:val="00794EF9"/>
    <w:rsid w:val="007977B1"/>
    <w:rsid w:val="007A4687"/>
    <w:rsid w:val="007A6F65"/>
    <w:rsid w:val="007B76CB"/>
    <w:rsid w:val="007D3DF7"/>
    <w:rsid w:val="007E2151"/>
    <w:rsid w:val="007E4EDF"/>
    <w:rsid w:val="007F23D7"/>
    <w:rsid w:val="007F2B17"/>
    <w:rsid w:val="00810003"/>
    <w:rsid w:val="00825880"/>
    <w:rsid w:val="0084359E"/>
    <w:rsid w:val="00854AA6"/>
    <w:rsid w:val="00857810"/>
    <w:rsid w:val="00861685"/>
    <w:rsid w:val="008C2B3D"/>
    <w:rsid w:val="008C689A"/>
    <w:rsid w:val="008C74C0"/>
    <w:rsid w:val="008D4CB2"/>
    <w:rsid w:val="008D67FC"/>
    <w:rsid w:val="008E6F64"/>
    <w:rsid w:val="009050E1"/>
    <w:rsid w:val="009112F9"/>
    <w:rsid w:val="00916200"/>
    <w:rsid w:val="00916D79"/>
    <w:rsid w:val="009209FC"/>
    <w:rsid w:val="00921735"/>
    <w:rsid w:val="009344C1"/>
    <w:rsid w:val="00935DB8"/>
    <w:rsid w:val="00952B6F"/>
    <w:rsid w:val="009534DC"/>
    <w:rsid w:val="00960E81"/>
    <w:rsid w:val="00963530"/>
    <w:rsid w:val="009701FA"/>
    <w:rsid w:val="00974A33"/>
    <w:rsid w:val="009778C1"/>
    <w:rsid w:val="00984D07"/>
    <w:rsid w:val="0099016B"/>
    <w:rsid w:val="00996C07"/>
    <w:rsid w:val="009A117B"/>
    <w:rsid w:val="009A1418"/>
    <w:rsid w:val="009A3686"/>
    <w:rsid w:val="009B3030"/>
    <w:rsid w:val="009D0D8F"/>
    <w:rsid w:val="009E02EB"/>
    <w:rsid w:val="009F67BB"/>
    <w:rsid w:val="00A0433C"/>
    <w:rsid w:val="00A26AD8"/>
    <w:rsid w:val="00A27E46"/>
    <w:rsid w:val="00A331B3"/>
    <w:rsid w:val="00A37E68"/>
    <w:rsid w:val="00A41419"/>
    <w:rsid w:val="00A56655"/>
    <w:rsid w:val="00A615B2"/>
    <w:rsid w:val="00A64E24"/>
    <w:rsid w:val="00A91D0D"/>
    <w:rsid w:val="00AA1CF9"/>
    <w:rsid w:val="00AD0E24"/>
    <w:rsid w:val="00AE5066"/>
    <w:rsid w:val="00AF498B"/>
    <w:rsid w:val="00B119FC"/>
    <w:rsid w:val="00B24F4A"/>
    <w:rsid w:val="00B36318"/>
    <w:rsid w:val="00B61A41"/>
    <w:rsid w:val="00B74B28"/>
    <w:rsid w:val="00B75963"/>
    <w:rsid w:val="00B97194"/>
    <w:rsid w:val="00BA0229"/>
    <w:rsid w:val="00BB07DE"/>
    <w:rsid w:val="00BB71B8"/>
    <w:rsid w:val="00BC19E0"/>
    <w:rsid w:val="00BD08F2"/>
    <w:rsid w:val="00BD5E12"/>
    <w:rsid w:val="00C07215"/>
    <w:rsid w:val="00C15389"/>
    <w:rsid w:val="00C2541C"/>
    <w:rsid w:val="00C404F1"/>
    <w:rsid w:val="00C410BF"/>
    <w:rsid w:val="00C51FE1"/>
    <w:rsid w:val="00C62A09"/>
    <w:rsid w:val="00C716FD"/>
    <w:rsid w:val="00C746B8"/>
    <w:rsid w:val="00C8245D"/>
    <w:rsid w:val="00C87BC9"/>
    <w:rsid w:val="00CE0E53"/>
    <w:rsid w:val="00CE7151"/>
    <w:rsid w:val="00D0119A"/>
    <w:rsid w:val="00D0348E"/>
    <w:rsid w:val="00D0746C"/>
    <w:rsid w:val="00D13B30"/>
    <w:rsid w:val="00D16066"/>
    <w:rsid w:val="00D165AE"/>
    <w:rsid w:val="00D27D23"/>
    <w:rsid w:val="00D347DA"/>
    <w:rsid w:val="00D546D7"/>
    <w:rsid w:val="00D6413E"/>
    <w:rsid w:val="00D87221"/>
    <w:rsid w:val="00D8791B"/>
    <w:rsid w:val="00D87A4C"/>
    <w:rsid w:val="00D9490E"/>
    <w:rsid w:val="00D95ABB"/>
    <w:rsid w:val="00DA7FC5"/>
    <w:rsid w:val="00DB44D7"/>
    <w:rsid w:val="00DD00CD"/>
    <w:rsid w:val="00DD1BE6"/>
    <w:rsid w:val="00DD219F"/>
    <w:rsid w:val="00DD6287"/>
    <w:rsid w:val="00DE4863"/>
    <w:rsid w:val="00DF36BB"/>
    <w:rsid w:val="00DF376F"/>
    <w:rsid w:val="00E02CE8"/>
    <w:rsid w:val="00E21CF8"/>
    <w:rsid w:val="00E23FA7"/>
    <w:rsid w:val="00E337CE"/>
    <w:rsid w:val="00E340FA"/>
    <w:rsid w:val="00E4484A"/>
    <w:rsid w:val="00E63962"/>
    <w:rsid w:val="00E803FF"/>
    <w:rsid w:val="00E81234"/>
    <w:rsid w:val="00E9462F"/>
    <w:rsid w:val="00EA1EF9"/>
    <w:rsid w:val="00EA7F2F"/>
    <w:rsid w:val="00EB3BA9"/>
    <w:rsid w:val="00EC0103"/>
    <w:rsid w:val="00EC04BA"/>
    <w:rsid w:val="00ED7D78"/>
    <w:rsid w:val="00EE192F"/>
    <w:rsid w:val="00EE1CC7"/>
    <w:rsid w:val="00F06FBA"/>
    <w:rsid w:val="00F14D70"/>
    <w:rsid w:val="00F27C9D"/>
    <w:rsid w:val="00F33BDF"/>
    <w:rsid w:val="00F344B4"/>
    <w:rsid w:val="00F41CF1"/>
    <w:rsid w:val="00F64B5B"/>
    <w:rsid w:val="00F86442"/>
    <w:rsid w:val="00F87040"/>
    <w:rsid w:val="00F963CC"/>
    <w:rsid w:val="00FA171D"/>
    <w:rsid w:val="00FA33C2"/>
    <w:rsid w:val="00FA4E6B"/>
    <w:rsid w:val="00FA7449"/>
    <w:rsid w:val="00FA7A62"/>
    <w:rsid w:val="00FB18A2"/>
    <w:rsid w:val="00FC50F3"/>
    <w:rsid w:val="01162AF2"/>
    <w:rsid w:val="02D01F4C"/>
    <w:rsid w:val="048A2A5E"/>
    <w:rsid w:val="061F077D"/>
    <w:rsid w:val="0733684B"/>
    <w:rsid w:val="07B565BC"/>
    <w:rsid w:val="07BF5BB3"/>
    <w:rsid w:val="07F120A2"/>
    <w:rsid w:val="090B256D"/>
    <w:rsid w:val="09107E48"/>
    <w:rsid w:val="0911073F"/>
    <w:rsid w:val="09563B19"/>
    <w:rsid w:val="09AC4B61"/>
    <w:rsid w:val="0A4A57F4"/>
    <w:rsid w:val="0B1338CA"/>
    <w:rsid w:val="0E2909E3"/>
    <w:rsid w:val="0EEA4696"/>
    <w:rsid w:val="0EFC6174"/>
    <w:rsid w:val="0FD56D0E"/>
    <w:rsid w:val="107A73E3"/>
    <w:rsid w:val="10876F2A"/>
    <w:rsid w:val="11D97697"/>
    <w:rsid w:val="1264208E"/>
    <w:rsid w:val="130D5B86"/>
    <w:rsid w:val="16B43AD5"/>
    <w:rsid w:val="171A7F03"/>
    <w:rsid w:val="184450DD"/>
    <w:rsid w:val="18774B2B"/>
    <w:rsid w:val="1A812168"/>
    <w:rsid w:val="1B577840"/>
    <w:rsid w:val="1B9F000B"/>
    <w:rsid w:val="1C160D89"/>
    <w:rsid w:val="1D490FCB"/>
    <w:rsid w:val="1DC04BC8"/>
    <w:rsid w:val="1F5E66DC"/>
    <w:rsid w:val="204940CC"/>
    <w:rsid w:val="20D01594"/>
    <w:rsid w:val="229432C0"/>
    <w:rsid w:val="231C7143"/>
    <w:rsid w:val="244C1CF8"/>
    <w:rsid w:val="25737C9F"/>
    <w:rsid w:val="26092163"/>
    <w:rsid w:val="278F1005"/>
    <w:rsid w:val="288151EA"/>
    <w:rsid w:val="28E72A94"/>
    <w:rsid w:val="298A0EF7"/>
    <w:rsid w:val="2AA034AC"/>
    <w:rsid w:val="2AB02747"/>
    <w:rsid w:val="2BA87D5E"/>
    <w:rsid w:val="2BAA1987"/>
    <w:rsid w:val="2C460387"/>
    <w:rsid w:val="2C8927B6"/>
    <w:rsid w:val="2D0E224D"/>
    <w:rsid w:val="2D5251AD"/>
    <w:rsid w:val="2E62238E"/>
    <w:rsid w:val="31F36DC0"/>
    <w:rsid w:val="32244D51"/>
    <w:rsid w:val="324341AD"/>
    <w:rsid w:val="32997A3D"/>
    <w:rsid w:val="3473352A"/>
    <w:rsid w:val="38757C9C"/>
    <w:rsid w:val="3A996AD8"/>
    <w:rsid w:val="3BD2423D"/>
    <w:rsid w:val="3BDF6414"/>
    <w:rsid w:val="3DF304BE"/>
    <w:rsid w:val="3F011824"/>
    <w:rsid w:val="40AE4EDB"/>
    <w:rsid w:val="41000EF6"/>
    <w:rsid w:val="45280D9B"/>
    <w:rsid w:val="45F67F99"/>
    <w:rsid w:val="47CE5D08"/>
    <w:rsid w:val="4A262C71"/>
    <w:rsid w:val="4D2A0632"/>
    <w:rsid w:val="4F16409E"/>
    <w:rsid w:val="52D72A75"/>
    <w:rsid w:val="52EB2EB5"/>
    <w:rsid w:val="5408383D"/>
    <w:rsid w:val="55D70FC0"/>
    <w:rsid w:val="572875D3"/>
    <w:rsid w:val="575D471F"/>
    <w:rsid w:val="57CC1B15"/>
    <w:rsid w:val="5927126D"/>
    <w:rsid w:val="595270D2"/>
    <w:rsid w:val="5AEA10A2"/>
    <w:rsid w:val="5B004024"/>
    <w:rsid w:val="5B8D2025"/>
    <w:rsid w:val="5C3E1BFC"/>
    <w:rsid w:val="5DAC7F8F"/>
    <w:rsid w:val="5DC03287"/>
    <w:rsid w:val="5DD50457"/>
    <w:rsid w:val="5E6A64EA"/>
    <w:rsid w:val="5ED50223"/>
    <w:rsid w:val="5FBD1416"/>
    <w:rsid w:val="611A52BA"/>
    <w:rsid w:val="63E8346A"/>
    <w:rsid w:val="64BA35D7"/>
    <w:rsid w:val="64EC3D71"/>
    <w:rsid w:val="66034087"/>
    <w:rsid w:val="668D5F59"/>
    <w:rsid w:val="66C0739E"/>
    <w:rsid w:val="67E236B8"/>
    <w:rsid w:val="6C0E0CE0"/>
    <w:rsid w:val="6C32766D"/>
    <w:rsid w:val="6C7D7294"/>
    <w:rsid w:val="71B14AE4"/>
    <w:rsid w:val="71F84899"/>
    <w:rsid w:val="7217288A"/>
    <w:rsid w:val="727336DC"/>
    <w:rsid w:val="72F700AF"/>
    <w:rsid w:val="74041EDD"/>
    <w:rsid w:val="74F63529"/>
    <w:rsid w:val="751E1D85"/>
    <w:rsid w:val="756D0BA0"/>
    <w:rsid w:val="75C84766"/>
    <w:rsid w:val="75E64652"/>
    <w:rsid w:val="76CA0D0B"/>
    <w:rsid w:val="77792816"/>
    <w:rsid w:val="77B530FF"/>
    <w:rsid w:val="7A8F4B67"/>
    <w:rsid w:val="7DA6018E"/>
    <w:rsid w:val="7FAD5C7C"/>
    <w:rsid w:val="7FAF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Indent"/>
    <w:basedOn w:val="1"/>
    <w:link w:val="17"/>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2"/>
    <w:qFormat/>
    <w:uiPriority w:val="9"/>
    <w:rPr>
      <w:rFonts w:ascii="宋体" w:hAnsi="宋体" w:eastAsia="宋体" w:cs="宋体"/>
      <w:b/>
      <w:bCs/>
      <w:kern w:val="0"/>
      <w:sz w:val="36"/>
      <w:szCs w:val="36"/>
    </w:rPr>
  </w:style>
  <w:style w:type="paragraph" w:customStyle="1" w:styleId="15">
    <w:name w:val="art-summar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wp_visitcount"/>
    <w:basedOn w:val="11"/>
    <w:qFormat/>
    <w:uiPriority w:val="0"/>
  </w:style>
  <w:style w:type="character" w:customStyle="1" w:styleId="17">
    <w:name w:val="正文文本缩进 字符"/>
    <w:basedOn w:val="11"/>
    <w:link w:val="4"/>
    <w:semiHidden/>
    <w:qFormat/>
    <w:uiPriority w:val="99"/>
    <w:rPr>
      <w:rFonts w:ascii="宋体" w:hAnsi="宋体" w:eastAsia="宋体" w:cs="宋体"/>
      <w:kern w:val="0"/>
      <w:sz w:val="24"/>
      <w:szCs w:val="24"/>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1C8C-FCC5-4E5B-8E55-979146F1CC66}">
  <ds:schemaRefs/>
</ds:datastoreItem>
</file>

<file path=docProps/app.xml><?xml version="1.0" encoding="utf-8"?>
<Properties xmlns="http://schemas.openxmlformats.org/officeDocument/2006/extended-properties" xmlns:vt="http://schemas.openxmlformats.org/officeDocument/2006/docPropsVTypes">
  <Template>Normal</Template>
  <Pages>7</Pages>
  <Words>3503</Words>
  <Characters>3567</Characters>
  <Lines>26</Lines>
  <Paragraphs>7</Paragraphs>
  <TotalTime>4</TotalTime>
  <ScaleCrop>false</ScaleCrop>
  <LinksUpToDate>false</LinksUpToDate>
  <CharactersWithSpaces>3652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2024-06-26T03:11:00Z</dcterms:created>
  <dc:creator>zju</dc:creator>
  <cp:lastModifiedBy>刘子琦</cp:lastModifiedBy>
  <cp:lastPrinted>2021-07-06T06:58:00Z</cp:lastPrinted>
  <dcterms:modified xsi:type="dcterms:W3CDTF">2025-06-26T06:43:50Z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2DD6793E815D4A9591F3F97701CDE344</vt:lpwstr>
  </property>
</Properties>
</file>